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97FB2" w14:textId="77777777" w:rsidR="000622BD" w:rsidRDefault="00B44E2F" w:rsidP="00B85E9E">
      <w:pPr>
        <w:jc w:val="right"/>
        <w:rPr>
          <w:rFonts w:eastAsia="Calibri"/>
          <w:bCs/>
        </w:rPr>
      </w:pPr>
      <w:bookmarkStart w:id="0" w:name="_Hlk161821739"/>
      <w:r w:rsidRPr="00B44E2F">
        <w:rPr>
          <w:rFonts w:eastAsia="Calibri"/>
        </w:rPr>
        <w:t xml:space="preserve">Välismaalaste seaduse ja </w:t>
      </w:r>
      <w:r w:rsidR="00F14F3B">
        <w:rPr>
          <w:rFonts w:eastAsia="Calibri"/>
        </w:rPr>
        <w:t xml:space="preserve">sellega seonduvalt </w:t>
      </w:r>
      <w:r w:rsidR="006410BE">
        <w:rPr>
          <w:rFonts w:eastAsia="Calibri"/>
        </w:rPr>
        <w:t xml:space="preserve">teiste seaduste muutmise </w:t>
      </w:r>
      <w:r w:rsidRPr="00B44E2F">
        <w:rPr>
          <w:rFonts w:eastAsia="Calibri"/>
        </w:rPr>
        <w:t>seadus</w:t>
      </w:r>
      <w:r w:rsidR="006410BE">
        <w:rPr>
          <w:rFonts w:eastAsia="Calibri"/>
        </w:rPr>
        <w:t>e</w:t>
      </w:r>
      <w:r w:rsidRPr="00B44E2F">
        <w:rPr>
          <w:rFonts w:eastAsia="Calibri"/>
        </w:rPr>
        <w:t xml:space="preserve"> (</w:t>
      </w:r>
      <w:r w:rsidR="006410BE">
        <w:rPr>
          <w:rFonts w:eastAsia="Calibri"/>
        </w:rPr>
        <w:t>ühtne luba</w:t>
      </w:r>
      <w:r w:rsidRPr="00B44E2F">
        <w:rPr>
          <w:rFonts w:eastAsia="Calibri"/>
        </w:rPr>
        <w:t>)</w:t>
      </w:r>
    </w:p>
    <w:p w14:paraId="64C84688" w14:textId="5257133A" w:rsidR="00B003FF" w:rsidRPr="00B003FF" w:rsidRDefault="00B003FF" w:rsidP="00B85E9E">
      <w:pPr>
        <w:jc w:val="right"/>
        <w:rPr>
          <w:rFonts w:eastAsia="Calibri"/>
          <w:bCs/>
        </w:rPr>
      </w:pPr>
      <w:r w:rsidRPr="00B003FF">
        <w:rPr>
          <w:rFonts w:eastAsia="Calibri"/>
          <w:bCs/>
        </w:rPr>
        <w:t>eelnõu seletuskiri</w:t>
      </w:r>
    </w:p>
    <w:p w14:paraId="7246C9FC" w14:textId="03B03F6B" w:rsidR="00B003FF" w:rsidRPr="00B003FF" w:rsidRDefault="00B003FF" w:rsidP="00B003FF">
      <w:pPr>
        <w:jc w:val="right"/>
        <w:rPr>
          <w:rFonts w:eastAsia="Calibri"/>
          <w:bCs/>
        </w:rPr>
      </w:pPr>
      <w:r w:rsidRPr="00B003FF">
        <w:rPr>
          <w:rFonts w:eastAsia="Calibri"/>
          <w:bCs/>
        </w:rPr>
        <w:t xml:space="preserve">Lisa </w:t>
      </w:r>
      <w:r w:rsidR="006410BE">
        <w:rPr>
          <w:rFonts w:eastAsia="Calibri"/>
          <w:bCs/>
        </w:rPr>
        <w:t>3</w:t>
      </w:r>
    </w:p>
    <w:p w14:paraId="20BFCF0C" w14:textId="77777777" w:rsidR="00B003FF" w:rsidRPr="00B003FF" w:rsidRDefault="00B003FF" w:rsidP="00B003FF">
      <w:pPr>
        <w:rPr>
          <w:rFonts w:eastAsia="Calibri"/>
          <w:bCs/>
        </w:rPr>
      </w:pPr>
    </w:p>
    <w:p w14:paraId="7976B4A1" w14:textId="77777777" w:rsidR="00B003FF" w:rsidRPr="00B003FF" w:rsidRDefault="00B003FF" w:rsidP="00B003FF">
      <w:pPr>
        <w:rPr>
          <w:rFonts w:eastAsia="Calibri"/>
          <w:b/>
        </w:rPr>
      </w:pPr>
      <w:r w:rsidRPr="00B003FF">
        <w:rPr>
          <w:rFonts w:eastAsia="Calibri"/>
          <w:b/>
        </w:rPr>
        <w:t>Kooskõlastustabel</w:t>
      </w:r>
    </w:p>
    <w:p w14:paraId="59FC8A4F" w14:textId="77777777" w:rsidR="00B003FF" w:rsidRPr="00B003FF" w:rsidRDefault="00B003FF" w:rsidP="00B003FF">
      <w:pPr>
        <w:rPr>
          <w:rFonts w:eastAsia="Calibri"/>
          <w:b/>
        </w:rPr>
      </w:pPr>
    </w:p>
    <w:tbl>
      <w:tblPr>
        <w:tblStyle w:val="Kontuurtabel"/>
        <w:tblW w:w="9630" w:type="dxa"/>
        <w:tblInd w:w="0" w:type="dxa"/>
        <w:tblLayout w:type="fixed"/>
        <w:tblLook w:val="04A0" w:firstRow="1" w:lastRow="0" w:firstColumn="1" w:lastColumn="0" w:noHBand="0" w:noVBand="1"/>
      </w:tblPr>
      <w:tblGrid>
        <w:gridCol w:w="5240"/>
        <w:gridCol w:w="4390"/>
      </w:tblGrid>
      <w:tr w:rsidR="00B003FF" w:rsidRPr="00B003FF" w14:paraId="5D916E0B" w14:textId="77777777" w:rsidTr="009B75B6">
        <w:tc>
          <w:tcPr>
            <w:tcW w:w="524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4852E26C" w14:textId="77777777" w:rsidR="00B003FF" w:rsidRPr="00445EDF" w:rsidRDefault="00B003FF" w:rsidP="00445EDF">
            <w:pPr>
              <w:rPr>
                <w:b/>
              </w:rPr>
            </w:pPr>
            <w:r w:rsidRPr="00445EDF">
              <w:rPr>
                <w:b/>
              </w:rPr>
              <w:t>Esitaja/märkuse sisu</w:t>
            </w:r>
          </w:p>
        </w:tc>
        <w:tc>
          <w:tcPr>
            <w:tcW w:w="439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2EC52E64" w14:textId="77777777" w:rsidR="00B003FF" w:rsidRPr="00B003FF" w:rsidRDefault="00B003FF" w:rsidP="00445EDF">
            <w:pPr>
              <w:rPr>
                <w:b/>
              </w:rPr>
            </w:pPr>
            <w:r w:rsidRPr="00445EDF">
              <w:rPr>
                <w:b/>
              </w:rPr>
              <w:t>Märkuse arvestamine/mittearvestamine</w:t>
            </w:r>
          </w:p>
        </w:tc>
      </w:tr>
      <w:tr w:rsidR="002E3F32" w:rsidRPr="002D2B15" w14:paraId="7C11AD7F" w14:textId="77777777" w:rsidTr="00156F62">
        <w:trPr>
          <w:trHeight w:val="566"/>
        </w:trPr>
        <w:tc>
          <w:tcPr>
            <w:tcW w:w="524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228FD02" w14:textId="61155E08" w:rsidR="002E3F32" w:rsidRDefault="002E3F32" w:rsidP="002E3F32">
            <w:pPr>
              <w:jc w:val="both"/>
              <w:rPr>
                <w:b/>
              </w:rPr>
            </w:pPr>
            <w:r w:rsidRPr="00B31DE2">
              <w:rPr>
                <w:b/>
                <w:bCs/>
              </w:rPr>
              <w:t>Eesti rahvusvaheliste autovedajate assotsiatsioon</w:t>
            </w:r>
          </w:p>
        </w:tc>
        <w:tc>
          <w:tcPr>
            <w:tcW w:w="439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BC538D1" w14:textId="77777777" w:rsidR="002E3F32" w:rsidRPr="00B31DE2" w:rsidRDefault="002E3F32" w:rsidP="002E3F32">
            <w:r w:rsidRPr="00B31DE2">
              <w:t>Ermo Perolainen, ERAA peasekretär</w:t>
            </w:r>
          </w:p>
          <w:p w14:paraId="597F19E8" w14:textId="77777777" w:rsidR="002E3F32" w:rsidRDefault="002E3F32" w:rsidP="002E3F32"/>
        </w:tc>
      </w:tr>
      <w:tr w:rsidR="002E3F32" w:rsidRPr="002D2B15" w14:paraId="35AA53DF" w14:textId="77777777" w:rsidTr="002E3F32">
        <w:trPr>
          <w:trHeight w:val="566"/>
        </w:trPr>
        <w:tc>
          <w:tcPr>
            <w:tcW w:w="5240" w:type="dxa"/>
            <w:tcBorders>
              <w:top w:val="single" w:sz="4" w:space="0" w:color="auto"/>
              <w:left w:val="single" w:sz="4" w:space="0" w:color="auto"/>
              <w:bottom w:val="single" w:sz="4" w:space="0" w:color="auto"/>
              <w:right w:val="single" w:sz="4" w:space="0" w:color="auto"/>
            </w:tcBorders>
          </w:tcPr>
          <w:p w14:paraId="28217096" w14:textId="77777777" w:rsidR="002E3F32" w:rsidRDefault="002E3F32" w:rsidP="002E3F32">
            <w:pPr>
              <w:jc w:val="both"/>
            </w:pPr>
            <w:r w:rsidRPr="007749F4">
              <w:rPr>
                <w:b/>
                <w:bCs/>
              </w:rPr>
              <w:t>1.</w:t>
            </w:r>
            <w:r>
              <w:t xml:space="preserve"> </w:t>
            </w:r>
            <w:r w:rsidRPr="00CC22DF">
              <w:t>Auto</w:t>
            </w:r>
            <w:r>
              <w:t>juhtide puudus on täna sektori kõige suurem probleem ja väljakutse. Konkurents tööjõuturul on globaalne ja võidavad need riigid, kus on vähem piiranguid, kiirem ja paindlikum lubade taotluste menetlemine ning soodsam maksukeskkond. K</w:t>
            </w:r>
            <w:r w:rsidRPr="00CC22DF">
              <w:t xml:space="preserve">olmandatest riikidest pärit </w:t>
            </w:r>
            <w:r>
              <w:t xml:space="preserve">autojuhtide </w:t>
            </w:r>
            <w:r w:rsidRPr="00CC22DF">
              <w:t>kaasamine rahvusvaheliste autovedude tegemiseks on hädavajalik, et veondusturul teiste riikide (Läti, Leedu, Poola jt) vedajatega konkureerida.</w:t>
            </w:r>
          </w:p>
          <w:p w14:paraId="4D39E7A2" w14:textId="25E8E8FC" w:rsidR="002E3F32" w:rsidRDefault="002E3F32" w:rsidP="002E3F32">
            <w:pPr>
              <w:jc w:val="both"/>
              <w:rPr>
                <w:b/>
              </w:rPr>
            </w:pPr>
            <w:r>
              <w:t xml:space="preserve">Toetame ja tervitame kõiki ettepanekuid, mis muudavad kolmandate riikide päritolu tööjõu värbamise tingimusi Eestis lihtsamaks, kiiremaks ja paindlikumaks. Dokumentide taotluste menetlemise kiirus ehk aeg on probleem, mis täna </w:t>
            </w:r>
            <w:proofErr w:type="spellStart"/>
            <w:r>
              <w:t>võõrtööjõu</w:t>
            </w:r>
            <w:proofErr w:type="spellEnd"/>
            <w:r>
              <w:t xml:space="preserve"> kasutamist märkimisväärselt pidurdab. See puudutab nii elamislubasid, viisasid kui lühiajalise töötamise registreeringuid (LTR). Mitu kuud töötamiseks vajalikke dokumente oodata tähendab, et Eesti ettevõtted </w:t>
            </w:r>
            <w:r w:rsidRPr="0076438E">
              <w:t xml:space="preserve">jäävad </w:t>
            </w:r>
            <w:proofErr w:type="spellStart"/>
            <w:r w:rsidRPr="0076438E">
              <w:t>võõrtööjõu</w:t>
            </w:r>
            <w:proofErr w:type="spellEnd"/>
            <w:r w:rsidRPr="0076438E">
              <w:t xml:space="preserve"> turul konkurentsist sisuliselt kõrvale. Naaberriikides toimub dokumentide vormistamine oluliselt kiiremini ning Eestit valitakse viimasena kui teistes riikides mingil põhjusel töötamiseks vajalikke lubasid ei anta. Arusaamatuks jäävad mitmed negatiivse otsusega lõppenud menetlused, kus kogenud, staažikaid, seaduskuulekaid Eesti ettevõtteid nimetatakse ebausaldusväärseteks. Sektori spetsiifikat mittetundvad ametnikud süüdistavad aastakümneid tegutsenud ettevõtjaid „oskamatuses oma tööd korraldada“. Me ei saa selliste hinnangutega nõustuda, keelamise ja piiramise asemel peaks riigi ning ametnike eesmärgiks olema ettevõtjate aitamine ja toetamine. Kehtivad seadused peaksid olema paindlikud ning võimaldama arvesse võtta muuhulgas erinevate valdkondade spetsiifikat.</w:t>
            </w:r>
          </w:p>
        </w:tc>
        <w:tc>
          <w:tcPr>
            <w:tcW w:w="4390" w:type="dxa"/>
            <w:tcBorders>
              <w:top w:val="single" w:sz="4" w:space="0" w:color="auto"/>
              <w:left w:val="single" w:sz="4" w:space="0" w:color="auto"/>
              <w:bottom w:val="single" w:sz="4" w:space="0" w:color="auto"/>
              <w:right w:val="single" w:sz="4" w:space="0" w:color="auto"/>
            </w:tcBorders>
          </w:tcPr>
          <w:p w14:paraId="733ED1C0" w14:textId="28128BC3" w:rsidR="002E3F32" w:rsidRDefault="002E3F32" w:rsidP="002E3F32">
            <w:pPr>
              <w:rPr>
                <w:u w:val="single"/>
              </w:rPr>
            </w:pPr>
            <w:r w:rsidRPr="00B31DE2">
              <w:rPr>
                <w:u w:val="single"/>
              </w:rPr>
              <w:t>Selgitus</w:t>
            </w:r>
          </w:p>
          <w:p w14:paraId="41780D7D" w14:textId="5A10336D" w:rsidR="002E3F32" w:rsidRDefault="002E3F32" w:rsidP="00D206C9">
            <w:pPr>
              <w:jc w:val="both"/>
            </w:pPr>
            <w:r w:rsidRPr="0076438E">
              <w:t xml:space="preserve">Võtame teadmiseks, et toetate ettepanekuid, mis muudavad </w:t>
            </w:r>
            <w:proofErr w:type="spellStart"/>
            <w:r w:rsidRPr="0076438E">
              <w:t>välistööjõu</w:t>
            </w:r>
            <w:proofErr w:type="spellEnd"/>
            <w:r w:rsidRPr="0076438E">
              <w:t xml:space="preserve"> värbamise tingimusi Eestis lihtsamaks</w:t>
            </w:r>
            <w:r>
              <w:t>,</w:t>
            </w:r>
            <w:r w:rsidRPr="0076438E">
              <w:t xml:space="preserve"> kiiremaks ja paindlikumaks.</w:t>
            </w:r>
            <w:r w:rsidR="00D206C9">
              <w:t xml:space="preserve"> </w:t>
            </w:r>
            <w:r>
              <w:t xml:space="preserve">Mõistame, et veondussektori tööjõupuudus on tinginud vajaduse värvata vajalikke töötajaid välisriikidest. </w:t>
            </w:r>
            <w:r w:rsidRPr="0076438E">
              <w:t>Eesti rändepoliitika lähtu</w:t>
            </w:r>
            <w:r>
              <w:t>b</w:t>
            </w:r>
            <w:r w:rsidRPr="0076438E">
              <w:t xml:space="preserve"> tasakaalustatud lähenemisest </w:t>
            </w:r>
            <w:r>
              <w:t xml:space="preserve">toetades ühelt poolt Eesti ühiskonnale kõrget lisandväärtust andvate välismaalaste sisserännet, tagades </w:t>
            </w:r>
            <w:r w:rsidRPr="0076438E">
              <w:t>Eestis seadusliku viibimise reeglite paindlikkus</w:t>
            </w:r>
            <w:r>
              <w:t>e</w:t>
            </w:r>
            <w:r w:rsidRPr="0076438E">
              <w:t xml:space="preserve"> ning inimesekesk</w:t>
            </w:r>
            <w:r>
              <w:t>s</w:t>
            </w:r>
            <w:r w:rsidRPr="0076438E">
              <w:t>e lähenemine</w:t>
            </w:r>
            <w:r w:rsidR="00D206C9">
              <w:t xml:space="preserve"> ning teisalt </w:t>
            </w:r>
            <w:r>
              <w:t xml:space="preserve">ennetades ja tõkestades ebaseaduslikku viibimist, elamist ja töötamist ning maandades rändega kaasnevaid riske. </w:t>
            </w:r>
            <w:r w:rsidRPr="0076438E">
              <w:t xml:space="preserve">Viimastel aastatel on ellu viidud mitmeid muudatusi, mille eesmärgiks on soodustada </w:t>
            </w:r>
            <w:r>
              <w:t xml:space="preserve">kõrgelt kvalifitseeritud </w:t>
            </w:r>
            <w:proofErr w:type="spellStart"/>
            <w:r>
              <w:t>välistöötajate</w:t>
            </w:r>
            <w:proofErr w:type="spellEnd"/>
            <w:r>
              <w:t xml:space="preserve"> ja oskustöötajate sisserännet. Töös on täiendavad välismaalaste seaduse</w:t>
            </w:r>
            <w:r w:rsidR="00D206C9">
              <w:t xml:space="preserve"> (edaspidi </w:t>
            </w:r>
            <w:r w:rsidR="00D206C9" w:rsidRPr="00D206C9">
              <w:rPr>
                <w:i/>
                <w:iCs/>
              </w:rPr>
              <w:t>VMS</w:t>
            </w:r>
            <w:r w:rsidR="00D206C9">
              <w:t>)</w:t>
            </w:r>
            <w:r>
              <w:t xml:space="preserve"> muudatused, millega lihtsustatakse tööandja vahetust elamisloa kehtivusaja jooksul (edaspidi ei pea taotlema uut elamisluba tööandja vahetamiseks) ning kehtestatakse tööjõupuudusega tegevusaladel tööle asumise</w:t>
            </w:r>
            <w:r w:rsidR="00D206C9">
              <w:t>ks</w:t>
            </w:r>
            <w:r>
              <w:t xml:space="preserve"> soodsamad tingimused tähtajalise elamisloa saamiseks (erisus sisserände piirarvu kohaldumisest, Töötukassa loast ning </w:t>
            </w:r>
            <w:r w:rsidR="00D206C9">
              <w:t>palgakriteeriumist</w:t>
            </w:r>
            <w:r>
              <w:t xml:space="preserve">). Praeguse analüüsi kohaselt </w:t>
            </w:r>
            <w:r w:rsidR="00D206C9">
              <w:t>kuulub ka</w:t>
            </w:r>
            <w:r>
              <w:t xml:space="preserve"> veonduse sektor </w:t>
            </w:r>
            <w:r w:rsidR="00D206C9">
              <w:t xml:space="preserve">potentsiaalselt </w:t>
            </w:r>
            <w:r>
              <w:t>tööjõupuudusega tegevusalade loetelus</w:t>
            </w:r>
            <w:r w:rsidR="00D206C9">
              <w:t xml:space="preserve">se, andes veondussektori ettevõtetele paindlikumad võimalused </w:t>
            </w:r>
            <w:proofErr w:type="spellStart"/>
            <w:r w:rsidR="00D206C9">
              <w:t>välistööjõu</w:t>
            </w:r>
            <w:proofErr w:type="spellEnd"/>
            <w:r w:rsidR="00D206C9">
              <w:t xml:space="preserve"> kaasamiseks. </w:t>
            </w:r>
          </w:p>
        </w:tc>
      </w:tr>
      <w:tr w:rsidR="002E3F32" w:rsidRPr="002D2B15" w14:paraId="65BE420E" w14:textId="77777777" w:rsidTr="002E3F32">
        <w:trPr>
          <w:trHeight w:val="566"/>
        </w:trPr>
        <w:tc>
          <w:tcPr>
            <w:tcW w:w="5240" w:type="dxa"/>
            <w:tcBorders>
              <w:top w:val="single" w:sz="4" w:space="0" w:color="auto"/>
              <w:left w:val="single" w:sz="4" w:space="0" w:color="auto"/>
              <w:bottom w:val="single" w:sz="4" w:space="0" w:color="auto"/>
              <w:right w:val="single" w:sz="4" w:space="0" w:color="auto"/>
            </w:tcBorders>
          </w:tcPr>
          <w:p w14:paraId="795D5F3F" w14:textId="77777777" w:rsidR="002E3F32" w:rsidRPr="00B31DE2" w:rsidRDefault="002E3F32" w:rsidP="002E3F32">
            <w:pPr>
              <w:jc w:val="both"/>
              <w:rPr>
                <w:rFonts w:cs="Calibri"/>
              </w:rPr>
            </w:pPr>
            <w:r w:rsidRPr="007749F4">
              <w:rPr>
                <w:rFonts w:cs="Calibri"/>
                <w:b/>
                <w:bCs/>
              </w:rPr>
              <w:t>2.</w:t>
            </w:r>
            <w:r>
              <w:rPr>
                <w:rFonts w:cs="Calibri"/>
              </w:rPr>
              <w:t xml:space="preserve"> </w:t>
            </w:r>
            <w:r w:rsidRPr="00967ABE">
              <w:rPr>
                <w:rFonts w:cs="Calibri"/>
              </w:rPr>
              <w:t xml:space="preserve">Käesolevaga soovime korrata 2024.a. veebruaris tehtud ettepanekut VMS muutmiseks kaotada kolmandatest riikidest pärit rahvusvaheliste autovedude autojuhtidele keelenõue. Kui autojuht </w:t>
            </w:r>
            <w:r w:rsidRPr="00967ABE">
              <w:rPr>
                <w:rFonts w:cs="Calibri"/>
              </w:rPr>
              <w:lastRenderedPageBreak/>
              <w:t>omab elamisluba ja soovib seda pikendada/uuesti taotleda, siis ei peaks temale rakendama keelenõuet, sest arvestades rahvusvahelise autojuhi töö iseloomu, kus suurem osa ajast viibitakse väljaspool Eestit ning Eestis kohapeal vaid mõned päevad kuus, siis puudub reaalselt vajadus keeleoskuse järele. Pikema 2024.a. veebruaris tehtud pöördumise antud teemal leiate lisatuna. Palume lisada VMS § 179 lg 4 eesti keele oskuse nõudest vabastatud välismaalaste hulka rahvusvaheliste vedude autojuhid.</w:t>
            </w:r>
          </w:p>
          <w:p w14:paraId="0E1BF96A" w14:textId="77777777" w:rsidR="002E3F32" w:rsidRDefault="002E3F32" w:rsidP="002E3F32">
            <w:pPr>
              <w:jc w:val="both"/>
            </w:pPr>
            <w:r>
              <w:t>Rahvusvaheliste vedude autojuhtidele seadustes erisuste loomine peaks olema nende töö iseloomu arvestades igati põhjendatud. Nad ei viibi püsivalt Eestis, nende töö on liikuva iseloomuga ja peamiselt väljaspool Eestit, nad veedavad puhkust oma koduriigis, nad ei koorma Eesti sotsiaal- ja tervishoiusüsteemi. Ja a</w:t>
            </w:r>
            <w:r w:rsidRPr="00CC22DF">
              <w:t>rvestades kriitilist olukorda tööjõuturul, kus Eestis ei ole</w:t>
            </w:r>
            <w:r>
              <w:t xml:space="preserve"> piisavalt </w:t>
            </w:r>
            <w:r w:rsidRPr="00CC22DF">
              <w:t xml:space="preserve">rahvusvahelisi vedusid teostavaid autojuhte, </w:t>
            </w:r>
            <w:r>
              <w:t xml:space="preserve">siis Eesti ettevõtjate toimetuleku ja jätkusuutlikkuse tagamiseks on oluline, et </w:t>
            </w:r>
            <w:proofErr w:type="spellStart"/>
            <w:r>
              <w:t>võõrtööjõu</w:t>
            </w:r>
            <w:proofErr w:type="spellEnd"/>
            <w:r>
              <w:t xml:space="preserve"> kaasamine ei oleks takistatud. </w:t>
            </w:r>
          </w:p>
          <w:p w14:paraId="62605538" w14:textId="623BFEFE" w:rsidR="002E3F32" w:rsidRDefault="002E3F32" w:rsidP="002E3F32">
            <w:pPr>
              <w:jc w:val="both"/>
              <w:rPr>
                <w:b/>
              </w:rPr>
            </w:pPr>
            <w:r>
              <w:t>Maanteekaubaveo näol on tegemist elutähtsa teenusega, millest sõltub kõigi kaupade ja teenuste kättesaadavus, mistõttu on Eesti enda veovõimekus hädavajalik, et tagada elanikkonna varustamise jätkusuutlikkus. Lisaks annaks sektori konkurentsivõime tõstmine võimaluse kasvatada teenuste ekspordi panust Eesti majandusse.</w:t>
            </w:r>
          </w:p>
        </w:tc>
        <w:tc>
          <w:tcPr>
            <w:tcW w:w="4390" w:type="dxa"/>
            <w:tcBorders>
              <w:top w:val="single" w:sz="4" w:space="0" w:color="auto"/>
              <w:left w:val="single" w:sz="4" w:space="0" w:color="auto"/>
              <w:bottom w:val="single" w:sz="4" w:space="0" w:color="auto"/>
              <w:right w:val="single" w:sz="4" w:space="0" w:color="auto"/>
            </w:tcBorders>
          </w:tcPr>
          <w:p w14:paraId="32B24BE9" w14:textId="6A887BCC" w:rsidR="002E3F32" w:rsidRPr="00C542C3" w:rsidRDefault="002E3F32" w:rsidP="002E3F32">
            <w:pPr>
              <w:jc w:val="both"/>
              <w:rPr>
                <w:u w:val="single"/>
              </w:rPr>
            </w:pPr>
            <w:r w:rsidRPr="00C542C3">
              <w:rPr>
                <w:u w:val="single"/>
              </w:rPr>
              <w:lastRenderedPageBreak/>
              <w:t>Selgitus</w:t>
            </w:r>
          </w:p>
          <w:p w14:paraId="7D170A39" w14:textId="110237A6" w:rsidR="002E3F32" w:rsidRDefault="002E3F32" w:rsidP="002E3F32">
            <w:pPr>
              <w:jc w:val="both"/>
            </w:pPr>
            <w:r w:rsidRPr="00C542C3">
              <w:t xml:space="preserve">Sarnaselt </w:t>
            </w:r>
            <w:r>
              <w:t>varasemale</w:t>
            </w:r>
            <w:r w:rsidRPr="00C542C3">
              <w:t xml:space="preserve"> tagasiside</w:t>
            </w:r>
            <w:r>
              <w:t>le</w:t>
            </w:r>
            <w:r w:rsidRPr="00C542C3">
              <w:t xml:space="preserve"> selgitame, et VMS § 179 lõikes 3 sätestatud A2 keeleoskuse nõue laieneb </w:t>
            </w:r>
            <w:r w:rsidRPr="00C542C3">
              <w:lastRenderedPageBreak/>
              <w:t>välismaalasele, kes taotleb tähtajalist elamisluba töötamiseks ja kes on Eestis elanud töötamiseks antud tähtajalise elamisloa alusel vähemalt viis aastat. Eesti keele oskus on üks olulisemaid eeldusi, et ühiskonda sulanduda ja selles toimuvat mõista. Välismaalasele on riigikeele oskus vahend, et saavutada näiteks parem haridus ja töökoht. Keeleoskus on tähtis ka ühiskonnale, kui pidada silmas lõimumist ja eesti keele säilimist.</w:t>
            </w:r>
          </w:p>
          <w:p w14:paraId="77F03214" w14:textId="1D1D9C6B" w:rsidR="002E3F32" w:rsidRDefault="002E3F32" w:rsidP="002E3F32">
            <w:pPr>
              <w:jc w:val="both"/>
            </w:pPr>
            <w:r>
              <w:t xml:space="preserve">Seadusandja on A2-tasemel keelenõudele loonud üksnes erisused, mis tulenevad Euroopa Liidu õigusaktidest: </w:t>
            </w:r>
            <w:r w:rsidRPr="00C542C3">
              <w:t xml:space="preserve">Euroopa Parlamendi ja nõukogu direktiivist 2014/36/EL (hooajatöötajate direktiiv), 2014/66/EL (ettevõtjasiseselt </w:t>
            </w:r>
            <w:proofErr w:type="spellStart"/>
            <w:r w:rsidRPr="00C542C3">
              <w:t>üleviidud</w:t>
            </w:r>
            <w:proofErr w:type="spellEnd"/>
            <w:r w:rsidRPr="00C542C3">
              <w:t xml:space="preserve"> töötajate direktiiv), 2016/801/EL (õpi- ja teadusrände direktiiv), 2021/1883 (Euroopa Liidu sinise kaardi direktiiv). Muude täiendavate erisuste loomist ei ole seadusandja pidanud põhjendatuks.</w:t>
            </w:r>
          </w:p>
          <w:p w14:paraId="54BE0F64" w14:textId="0BCE9324" w:rsidR="002E3F32" w:rsidRDefault="002E3F32" w:rsidP="002E3F32">
            <w:pPr>
              <w:jc w:val="both"/>
            </w:pPr>
            <w:r w:rsidRPr="00C542C3">
              <w:t xml:space="preserve">Teie pöördumisest nähtub, et rahvusvaheliste vedude autojuhid ei viibi Eestis püsivalt ning töö iseloomust tulenevalt viibivad peamisel väljaspool Eestit. </w:t>
            </w:r>
            <w:r>
              <w:t>Selgitame, et rahvusvaheliste autoveojuhtide puhul oleme nende töö iseloomu tähtajalise elamisloa menetluste puhul arvesse võtnud. Siiski peab silmas pidama, et t</w:t>
            </w:r>
            <w:r w:rsidRPr="00C542C3">
              <w:t xml:space="preserve">ähtajaline elamisluba on välismaalasele antav luba Eestisse elama asumiseks ja Eestis elamiseks. Seadusandja soov on olnud toetada Eesti elama asuvate </w:t>
            </w:r>
            <w:proofErr w:type="spellStart"/>
            <w:r w:rsidRPr="00C542C3">
              <w:t>välistöötajate</w:t>
            </w:r>
            <w:proofErr w:type="spellEnd"/>
            <w:r w:rsidRPr="00C542C3">
              <w:t xml:space="preserve"> ühiskonda sulandumist, mille puhul eesti keele oskus on olulise tähtsusega. </w:t>
            </w:r>
            <w:r>
              <w:t xml:space="preserve">Eesti keele oskuse nõuet peab välismaalane tõendama, kui ta soovib pärast </w:t>
            </w:r>
            <w:r w:rsidR="00D206C9">
              <w:t>viit</w:t>
            </w:r>
            <w:r>
              <w:t xml:space="preserve"> aastat oma elamisluba pikendada. Koos viisa ja lühiajalise töötamise registreerimise alusel töötamisega on seega välismaalasel kuus ja pool aastat, et õppida A2 tasemel eesti keelt. </w:t>
            </w:r>
            <w:r w:rsidRPr="00C542C3">
              <w:t xml:space="preserve">Usume, et need rahvusvaheliste vedude autojuhid, kes taotlevad endale tähtajalist elamisluba töötamiseks ning kes kavatsevad seeläbi jääda Eestisse pikemaajaliselt elama ja tööle, leiavad ka võimaluse, et õppida </w:t>
            </w:r>
            <w:r>
              <w:t>selle</w:t>
            </w:r>
            <w:r w:rsidRPr="00C542C3">
              <w:t xml:space="preserve"> perioodi jooksul piisavalt eesti keelt.</w:t>
            </w:r>
          </w:p>
          <w:p w14:paraId="24B242ED" w14:textId="59BA9801" w:rsidR="002E3F32" w:rsidRDefault="002E3F32" w:rsidP="002E3F32">
            <w:r>
              <w:lastRenderedPageBreak/>
              <w:t xml:space="preserve">Samuti märgime, et lühiajalise iseloomuga töö puhul on võimalik taotleda lühiajalise töötamise registreerimist ja viisat. Sellisel juhul </w:t>
            </w:r>
            <w:r w:rsidRPr="00C542C3">
              <w:t>ei kohaldu A2-tasemel keelenõue.</w:t>
            </w:r>
          </w:p>
        </w:tc>
      </w:tr>
      <w:tr w:rsidR="002E3F32" w:rsidRPr="002D2B15" w14:paraId="06877CE6" w14:textId="77777777" w:rsidTr="002E3F32">
        <w:trPr>
          <w:trHeight w:val="566"/>
        </w:trPr>
        <w:tc>
          <w:tcPr>
            <w:tcW w:w="524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D3C833F" w14:textId="680CA814" w:rsidR="002E3F32" w:rsidRPr="007749F4" w:rsidRDefault="002E3F32" w:rsidP="002E3F32">
            <w:pPr>
              <w:jc w:val="both"/>
              <w:rPr>
                <w:rFonts w:cs="Calibri"/>
                <w:b/>
                <w:bCs/>
              </w:rPr>
            </w:pPr>
            <w:r w:rsidRPr="002E3D92">
              <w:rPr>
                <w:b/>
                <w:bCs/>
              </w:rPr>
              <w:lastRenderedPageBreak/>
              <w:t>Eesti Infotehnoloogia ja telekommunikatsiooni Liit</w:t>
            </w:r>
          </w:p>
        </w:tc>
        <w:tc>
          <w:tcPr>
            <w:tcW w:w="439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8990359" w14:textId="77777777" w:rsidR="002E3F32" w:rsidRPr="002E3D92" w:rsidRDefault="002E3F32" w:rsidP="002E3F32">
            <w:r w:rsidRPr="002E3D92">
              <w:t>Kadri Pungas</w:t>
            </w:r>
          </w:p>
          <w:p w14:paraId="158410DC" w14:textId="31223F61" w:rsidR="002E3F32" w:rsidRPr="00C542C3" w:rsidRDefault="002E3F32" w:rsidP="002E3F32">
            <w:pPr>
              <w:jc w:val="both"/>
              <w:rPr>
                <w:u w:val="single"/>
              </w:rPr>
            </w:pPr>
            <w:hyperlink r:id="rId11" w:history="1">
              <w:r w:rsidRPr="00F3541E">
                <w:rPr>
                  <w:rStyle w:val="Hperlink"/>
                </w:rPr>
                <w:t>Kadri.Pungas@itl.ee</w:t>
              </w:r>
            </w:hyperlink>
            <w:r>
              <w:t xml:space="preserve"> </w:t>
            </w:r>
          </w:p>
        </w:tc>
      </w:tr>
      <w:tr w:rsidR="002E3F32" w:rsidRPr="002D2B15" w14:paraId="0E4298A7" w14:textId="77777777" w:rsidTr="002E3F32">
        <w:trPr>
          <w:trHeight w:val="566"/>
        </w:trPr>
        <w:tc>
          <w:tcPr>
            <w:tcW w:w="5240" w:type="dxa"/>
            <w:tcBorders>
              <w:top w:val="single" w:sz="4" w:space="0" w:color="auto"/>
              <w:left w:val="single" w:sz="4" w:space="0" w:color="auto"/>
              <w:bottom w:val="single" w:sz="4" w:space="0" w:color="auto"/>
              <w:right w:val="single" w:sz="4" w:space="0" w:color="auto"/>
            </w:tcBorders>
          </w:tcPr>
          <w:p w14:paraId="16CF4725" w14:textId="09E6421C" w:rsidR="002E3F32" w:rsidRPr="007749F4" w:rsidRDefault="002E3F32" w:rsidP="002E3F32">
            <w:pPr>
              <w:jc w:val="both"/>
              <w:rPr>
                <w:rFonts w:cs="Calibri"/>
                <w:b/>
                <w:bCs/>
              </w:rPr>
            </w:pPr>
            <w:r w:rsidRPr="004A3B07">
              <w:rPr>
                <w:b/>
                <w:bCs/>
              </w:rPr>
              <w:t>1.</w:t>
            </w:r>
            <w:r>
              <w:t xml:space="preserve"> </w:t>
            </w:r>
            <w:r w:rsidRPr="00A87EC6">
              <w:t xml:space="preserve">ITL-i hinnangul on mitmed eelnõuga tehtavad muudatused positiivsed ja </w:t>
            </w:r>
            <w:r w:rsidRPr="00D206C9">
              <w:t>toovad tööandjale leevendust administratiivse koormuse osas. On väga tervitatav eelnõuga välismaalasele antav võimalus tööta olekuks (töötamiseks antud tähtajalise elamisloa kehtivusajal), sest see toob lahenduse praktikas sagedasele probleemile</w:t>
            </w:r>
            <w:r w:rsidRPr="00A87EC6">
              <w:t>, kus töölt lahkudes peab välismaalane kohe uue tööandja juurde liikuma või riigist lahkuma.</w:t>
            </w:r>
          </w:p>
        </w:tc>
        <w:tc>
          <w:tcPr>
            <w:tcW w:w="4390" w:type="dxa"/>
            <w:tcBorders>
              <w:top w:val="single" w:sz="4" w:space="0" w:color="auto"/>
              <w:left w:val="single" w:sz="4" w:space="0" w:color="auto"/>
              <w:bottom w:val="single" w:sz="4" w:space="0" w:color="auto"/>
              <w:right w:val="single" w:sz="4" w:space="0" w:color="auto"/>
            </w:tcBorders>
          </w:tcPr>
          <w:p w14:paraId="28E903C6" w14:textId="6182E5CA" w:rsidR="002E3F32" w:rsidRPr="00C542C3" w:rsidRDefault="002E3F32" w:rsidP="002E3F32">
            <w:pPr>
              <w:jc w:val="both"/>
              <w:rPr>
                <w:u w:val="single"/>
              </w:rPr>
            </w:pPr>
            <w:r>
              <w:rPr>
                <w:u w:val="single"/>
              </w:rPr>
              <w:t>Teadmiseks võetud</w:t>
            </w:r>
          </w:p>
        </w:tc>
      </w:tr>
      <w:tr w:rsidR="002E3F32" w:rsidRPr="002D2B15" w14:paraId="01156389" w14:textId="77777777" w:rsidTr="002E3F32">
        <w:trPr>
          <w:trHeight w:val="566"/>
        </w:trPr>
        <w:tc>
          <w:tcPr>
            <w:tcW w:w="5240" w:type="dxa"/>
            <w:tcBorders>
              <w:top w:val="single" w:sz="4" w:space="0" w:color="auto"/>
              <w:left w:val="single" w:sz="4" w:space="0" w:color="auto"/>
              <w:bottom w:val="single" w:sz="4" w:space="0" w:color="auto"/>
              <w:right w:val="single" w:sz="4" w:space="0" w:color="auto"/>
            </w:tcBorders>
          </w:tcPr>
          <w:p w14:paraId="75B66A5E" w14:textId="77777777" w:rsidR="002E3F32" w:rsidRPr="00A87EC6" w:rsidRDefault="002E3F32" w:rsidP="002E3F32">
            <w:pPr>
              <w:ind w:right="37"/>
              <w:jc w:val="both"/>
              <w:rPr>
                <w:b/>
                <w:bCs/>
              </w:rPr>
            </w:pPr>
            <w:r w:rsidRPr="004A3B07">
              <w:rPr>
                <w:b/>
                <w:bCs/>
              </w:rPr>
              <w:t>2.</w:t>
            </w:r>
            <w:r>
              <w:t xml:space="preserve"> I</w:t>
            </w:r>
            <w:r w:rsidRPr="00A87EC6">
              <w:t xml:space="preserve">TL toetab eelnõu eesmärki lihtsustada töötamiseks antud tähtajalise elamisloa kehtivusajal välismaalase töökohavahetust. Eelnõuga võimaldatakse välismaalasele töötamiseks antud tähtajalise elamisloa kehtivusajal töökohavahetust ilma, et ta selleks uut elamisluba peaks taotlema ning selleks kehtestatakse uus töökohavahetuse registreerimise regulatsioon. </w:t>
            </w:r>
            <w:r w:rsidRPr="00581B74">
              <w:t>Juhime aga tähelepanu, et sealjuures ei tohi tekkida olukorda, kus teatud juhtudel välismaalase töökohavahetus muutuks praktikas hoopis oluliselt aeglasemaks.</w:t>
            </w:r>
          </w:p>
          <w:p w14:paraId="721B9F3E" w14:textId="77777777" w:rsidR="002E3F32" w:rsidRPr="00A87EC6" w:rsidRDefault="002E3F32" w:rsidP="002E3F32">
            <w:pPr>
              <w:ind w:right="37"/>
              <w:jc w:val="both"/>
            </w:pPr>
            <w:r w:rsidRPr="00A87EC6">
              <w:t>Seetõttu soovime täpsustada, kas eelnõuga muutuks tippspetsialistide ning idu- ja kasvuettevõtete jaoks välismaalase töökohavahetus aeglasemaks? Eelnõu seletuskirja kohaselt lühiajalise töötamise registreerimist (edaspidi: LTR) enam vaja ei ole tööandja vahetusel uue töökohavahetuse registreerimise regulatsiooni korral:</w:t>
            </w:r>
          </w:p>
          <w:p w14:paraId="64EDF84B" w14:textId="28B8FA8C" w:rsidR="002E3F32" w:rsidRPr="007749F4" w:rsidRDefault="002E3F32" w:rsidP="002E3F32">
            <w:pPr>
              <w:jc w:val="both"/>
              <w:rPr>
                <w:rFonts w:cs="Calibri"/>
                <w:b/>
                <w:bCs/>
              </w:rPr>
            </w:pPr>
            <w:r w:rsidRPr="00A87EC6">
              <w:rPr>
                <w:i/>
                <w:iCs/>
              </w:rPr>
              <w:t xml:space="preserve">"Kuivõrd kehtestatav töökohavahetuse registreerimise taotluse läbivaatamise tähtaeg on võrreldes elamisloa taotluse läbivaatamise tähtajaga oluliselt lühem (kehtestatava korra kohaselt on töökohavahetuse registreerimise menetluse tähtaeg 30 kalendripäeva), kaob ka vajadus täiendavalt välismaalase lühiajalist töötamist registreerida. Seeläbi muutub kogu töökohavahetuse protsess välismaalase, tööandja ja riigi jaoks vähem koormavaks, kiiremaks ja efektiivsemaks." </w:t>
            </w:r>
            <w:r w:rsidRPr="00A87EC6">
              <w:t>(seletuskiri lk 16)</w:t>
            </w:r>
            <w:r>
              <w:t>.</w:t>
            </w:r>
          </w:p>
        </w:tc>
        <w:tc>
          <w:tcPr>
            <w:tcW w:w="4390" w:type="dxa"/>
            <w:tcBorders>
              <w:top w:val="single" w:sz="4" w:space="0" w:color="auto"/>
              <w:left w:val="single" w:sz="4" w:space="0" w:color="auto"/>
              <w:bottom w:val="single" w:sz="4" w:space="0" w:color="auto"/>
              <w:right w:val="single" w:sz="4" w:space="0" w:color="auto"/>
            </w:tcBorders>
          </w:tcPr>
          <w:p w14:paraId="5B708B6C" w14:textId="77777777" w:rsidR="002E3F32" w:rsidRDefault="002E3F32" w:rsidP="002E3F32">
            <w:pPr>
              <w:rPr>
                <w:u w:val="single"/>
              </w:rPr>
            </w:pPr>
            <w:r>
              <w:rPr>
                <w:u w:val="single"/>
              </w:rPr>
              <w:t>Selgitus</w:t>
            </w:r>
          </w:p>
          <w:p w14:paraId="185B493D" w14:textId="33D8E935" w:rsidR="002E3F32" w:rsidRPr="00C542C3" w:rsidRDefault="00D206C9" w:rsidP="002E3F32">
            <w:pPr>
              <w:jc w:val="both"/>
              <w:rPr>
                <w:u w:val="single"/>
              </w:rPr>
            </w:pPr>
            <w:r>
              <w:t>Kehtiva korra kohaselt peab välismaalane, kellel on tähtajaline elamisluba töötamiseks, taotlema tööandja vahetamise korral uut tähtajalist elamisluba. Samuti registreeritakse praktikas tihti välismaalase lühiajaline töötamine, et võimaldada uue tööandja juures kiiremat tööle asumist</w:t>
            </w:r>
            <w:r w:rsidR="00AA3C38">
              <w:t>, kuniks elamisloa taotluse suhtes otsus tehakse</w:t>
            </w:r>
            <w:r>
              <w:t xml:space="preserve">. </w:t>
            </w:r>
            <w:r w:rsidR="00AA3C38">
              <w:t xml:space="preserve">Ka tippspetsialistide ja idu- ning kasvuettevõtte töötajate puhul tehakse otsus elamisloa taotluse suhtes kuni kahe kuu jooksul (alates 01.01.2026 kuni kolme kuu jooksul). Eelnõuga kavandatavate muudatuste kohaselt ei ole uue elamisloa taotlemine enam vajalik, piisab töökohavahetuse registreerimisest. Erinevalt lühiajalise töötamise registreerimisest, mille puhul on teatud töötajate kategooriatele loodud kiirendatud menetlus, kohaldatakse eelnõu kohaselt </w:t>
            </w:r>
            <w:r w:rsidR="002E3F32">
              <w:t>töökohavahetuse regulatsioon</w:t>
            </w:r>
            <w:r w:rsidR="00AA3C38">
              <w:t>i</w:t>
            </w:r>
            <w:r w:rsidR="002E3F32">
              <w:t xml:space="preserve"> ühetaoliselt kõikidele töötamise alustele. Seda põhjusel, et vältida täiendavate erisuste loomist</w:t>
            </w:r>
            <w:r>
              <w:t xml:space="preserve"> VMS-i</w:t>
            </w:r>
            <w:r w:rsidR="002E3F32">
              <w:t xml:space="preserve">. Nii tööandjad, välismaalased, kui ka mitmed uuringud (sh nt Sihtasutus Kutsekoja </w:t>
            </w:r>
            <w:proofErr w:type="spellStart"/>
            <w:r w:rsidR="002E3F32">
              <w:t>Välistööjõu</w:t>
            </w:r>
            <w:proofErr w:type="spellEnd"/>
            <w:r w:rsidR="002E3F32">
              <w:t xml:space="preserve"> uuring aastani 2035) on välja toonud, et Eesti töörännet puudutavas regulatsioonis on kehtestatud liigselt erisusi, mis muudab reeglitest arusaamise ja </w:t>
            </w:r>
            <w:r w:rsidR="00AA3C38">
              <w:t xml:space="preserve">nende </w:t>
            </w:r>
            <w:r w:rsidR="002E3F32">
              <w:t xml:space="preserve">järgimise keeruliseks kõikidele osapooltele. Seetõttu on peetud otstarbekas liikuda edasi regulatsiooniga, mis täiendavaid erandeid töökohavahetuse registreerimise üldreeglitest ei loo. </w:t>
            </w:r>
            <w:r w:rsidR="00AA3C38">
              <w:t xml:space="preserve">Eelnõu </w:t>
            </w:r>
            <w:r w:rsidR="00AA3C38">
              <w:lastRenderedPageBreak/>
              <w:t xml:space="preserve">kohaselt teeb PPA töökohavahetuse registreerimise taotluse suhtes otsuse kuni 30 </w:t>
            </w:r>
            <w:r w:rsidR="00A25D21">
              <w:t>kalendri</w:t>
            </w:r>
            <w:r w:rsidR="00AA3C38">
              <w:t xml:space="preserve">päeva jooksul. Ka töökohavahetuse registreerimise menetluses lähtub PPA haldusmenetluse </w:t>
            </w:r>
            <w:r w:rsidR="00A25D21">
              <w:t>seaduses sätestatust, viies menetluse läbi võimalikult kiiresti.</w:t>
            </w:r>
          </w:p>
        </w:tc>
      </w:tr>
      <w:tr w:rsidR="002E3F32" w:rsidRPr="002D2B15" w14:paraId="39BD40F1" w14:textId="77777777" w:rsidTr="002E3F32">
        <w:trPr>
          <w:trHeight w:val="566"/>
        </w:trPr>
        <w:tc>
          <w:tcPr>
            <w:tcW w:w="5240" w:type="dxa"/>
            <w:tcBorders>
              <w:top w:val="single" w:sz="4" w:space="0" w:color="auto"/>
              <w:left w:val="single" w:sz="4" w:space="0" w:color="auto"/>
              <w:bottom w:val="single" w:sz="4" w:space="0" w:color="auto"/>
              <w:right w:val="single" w:sz="4" w:space="0" w:color="auto"/>
            </w:tcBorders>
          </w:tcPr>
          <w:p w14:paraId="2C981EFD" w14:textId="5EC80637" w:rsidR="002E3F32" w:rsidRPr="007749F4" w:rsidRDefault="002E3F32" w:rsidP="002E3F32">
            <w:pPr>
              <w:jc w:val="both"/>
              <w:rPr>
                <w:rFonts w:cs="Calibri"/>
                <w:b/>
                <w:bCs/>
              </w:rPr>
            </w:pPr>
            <w:r w:rsidRPr="004A3B07">
              <w:rPr>
                <w:b/>
                <w:bCs/>
              </w:rPr>
              <w:lastRenderedPageBreak/>
              <w:t>3.</w:t>
            </w:r>
            <w:r>
              <w:t xml:space="preserve"> </w:t>
            </w:r>
            <w:r w:rsidRPr="00A87EC6">
              <w:t xml:space="preserve">Täna kehtiva regulatsiooni kohaselt saavad </w:t>
            </w:r>
            <w:proofErr w:type="spellStart"/>
            <w:r w:rsidRPr="00A87EC6">
              <w:t>välis</w:t>
            </w:r>
            <w:proofErr w:type="spellEnd"/>
            <w:r w:rsidRPr="00A87EC6">
              <w:t xml:space="preserve">-tippspetsialistid ja idu- ning kasvuettevõtete ettevõtete </w:t>
            </w:r>
            <w:proofErr w:type="spellStart"/>
            <w:r w:rsidRPr="00A87EC6">
              <w:t>välistöötajad</w:t>
            </w:r>
            <w:proofErr w:type="spellEnd"/>
            <w:r w:rsidRPr="00A87EC6">
              <w:t xml:space="preserve"> töökohavahetusel tööd alustada hetkest, mil LTR sisse antakse – seega põhimõtteliselt koheselt, otsus tuleb välja 48 tunni jooksul. Ilma uue elamisloa taotluseta aga LTR-i tegemise õigust pole. Seega kui enam LTR-i teha ei saa (kuna </w:t>
            </w:r>
            <w:r w:rsidRPr="00581B74">
              <w:t>uut elamisloa taotlust pole esitatud) ja tööandjavahetuse protsess on uue töökohavahetuse registreerimise regulatsiooni kohaselt 30 päeva, siis see on tänasest praktikast (48 tundi) oluliselt aeglasem ja</w:t>
            </w:r>
            <w:r w:rsidRPr="00A87EC6">
              <w:t xml:space="preserve"> raskendab tippspetsialistidest välismaalaste värbamist ja nende töökohavahetust.</w:t>
            </w:r>
          </w:p>
        </w:tc>
        <w:tc>
          <w:tcPr>
            <w:tcW w:w="4390" w:type="dxa"/>
            <w:tcBorders>
              <w:top w:val="single" w:sz="4" w:space="0" w:color="auto"/>
              <w:left w:val="single" w:sz="4" w:space="0" w:color="auto"/>
              <w:bottom w:val="single" w:sz="4" w:space="0" w:color="auto"/>
              <w:right w:val="single" w:sz="4" w:space="0" w:color="auto"/>
            </w:tcBorders>
          </w:tcPr>
          <w:p w14:paraId="3AA34B4A" w14:textId="77777777" w:rsidR="002E3F32" w:rsidRDefault="002E3F32" w:rsidP="002E3F32">
            <w:pPr>
              <w:rPr>
                <w:u w:val="single"/>
              </w:rPr>
            </w:pPr>
            <w:r>
              <w:rPr>
                <w:u w:val="single"/>
              </w:rPr>
              <w:t>Selgitus</w:t>
            </w:r>
          </w:p>
          <w:p w14:paraId="62E9ADCB" w14:textId="53379522" w:rsidR="002E3F32" w:rsidRPr="00CA11C9" w:rsidRDefault="00A25D21" w:rsidP="002E3F32">
            <w:pPr>
              <w:jc w:val="both"/>
            </w:pPr>
            <w:r>
              <w:t xml:space="preserve">Kuigi direktiivi 2024/1233 artikli 11 lõike 3 kohaselt võib liikmesriik peatada ühtse loa valdaja õiguse tööandjat vahetada 45 päeva jooksul alates tööandja vahetamise kohta teavituse esitamisest, siis peeti direktiivi ülevõtmisel Eesti õigusesse põhjendatuks sellest lühema menetlustähtaja sätestamist. </w:t>
            </w:r>
            <w:r w:rsidR="00FF4B9A">
              <w:t>Võttes arvesse, et</w:t>
            </w:r>
            <w:r>
              <w:t xml:space="preserve"> riigisisese õiguse kohaselt on töölepingu ülesülemisel tavapärane ette teavitamise aeg 30 päeva, </w:t>
            </w:r>
            <w:r w:rsidR="00FF4B9A">
              <w:t>sätestatakse</w:t>
            </w:r>
            <w:r>
              <w:t xml:space="preserve"> eelnõuga ka töökohavahetuse registreerimise taotluse suhtes otsus</w:t>
            </w:r>
            <w:r w:rsidR="00FF4B9A">
              <w:t xml:space="preserve">e tegemiseks sama tähtaeg, st </w:t>
            </w:r>
            <w:r>
              <w:t>30 päeva</w:t>
            </w:r>
            <w:r w:rsidR="00FF4B9A">
              <w:t xml:space="preserve"> alates taotluse esitamisest</w:t>
            </w:r>
            <w:r>
              <w:t xml:space="preserve">. </w:t>
            </w:r>
            <w:r w:rsidR="00FF4B9A">
              <w:t xml:space="preserve">Eelnev võimaldab </w:t>
            </w:r>
            <w:proofErr w:type="spellStart"/>
            <w:r w:rsidR="00FF4B9A">
              <w:t>PPA-l</w:t>
            </w:r>
            <w:proofErr w:type="spellEnd"/>
            <w:r w:rsidR="00FF4B9A">
              <w:t xml:space="preserve"> viia läbi vajalikud toimingud kontrollimaks, et töötamine uue tööandja juures vastab VMS-</w:t>
            </w:r>
            <w:proofErr w:type="spellStart"/>
            <w:r w:rsidR="00FF4B9A">
              <w:t>is</w:t>
            </w:r>
            <w:proofErr w:type="spellEnd"/>
            <w:r w:rsidR="00FF4B9A">
              <w:t xml:space="preserve"> sätestatud tingimustel, kuid tagab samas, et </w:t>
            </w:r>
            <w:r>
              <w:t xml:space="preserve">töökohavahetuse registreerimise taotluse läbivaatamise </w:t>
            </w:r>
            <w:r w:rsidR="00FF4B9A">
              <w:t>menetlus</w:t>
            </w:r>
            <w:r>
              <w:t>tähtaeg ei ole</w:t>
            </w:r>
            <w:r w:rsidR="00FF4B9A">
              <w:t>ks</w:t>
            </w:r>
            <w:r>
              <w:t xml:space="preserve"> oluliseks takistuseks uue tööandja juures tööle asumisel.</w:t>
            </w:r>
          </w:p>
        </w:tc>
      </w:tr>
      <w:tr w:rsidR="002E3F32" w:rsidRPr="002D2B15" w14:paraId="6570748D" w14:textId="77777777" w:rsidTr="002E3F32">
        <w:trPr>
          <w:trHeight w:val="566"/>
        </w:trPr>
        <w:tc>
          <w:tcPr>
            <w:tcW w:w="5240" w:type="dxa"/>
            <w:tcBorders>
              <w:top w:val="single" w:sz="4" w:space="0" w:color="auto"/>
              <w:left w:val="single" w:sz="4" w:space="0" w:color="auto"/>
              <w:bottom w:val="single" w:sz="4" w:space="0" w:color="auto"/>
              <w:right w:val="single" w:sz="4" w:space="0" w:color="auto"/>
            </w:tcBorders>
          </w:tcPr>
          <w:p w14:paraId="2C7126D5" w14:textId="5EC28781" w:rsidR="002E3F32" w:rsidRPr="007749F4" w:rsidRDefault="002E3F32" w:rsidP="002E3F32">
            <w:pPr>
              <w:jc w:val="both"/>
              <w:rPr>
                <w:rFonts w:cs="Calibri"/>
                <w:b/>
                <w:bCs/>
              </w:rPr>
            </w:pPr>
            <w:r w:rsidRPr="00AA3C38">
              <w:t xml:space="preserve">4. ITL leiab, et eelnõus tuleb näha ette tööandjavahetusel välismaalastest tippspetsialistidele ning idu- ja kasvuettevõtete </w:t>
            </w:r>
            <w:proofErr w:type="spellStart"/>
            <w:r w:rsidRPr="00AA3C38">
              <w:t>välistöötajatele</w:t>
            </w:r>
            <w:proofErr w:type="spellEnd"/>
            <w:r w:rsidRPr="00AA3C38">
              <w:t xml:space="preserve"> töökohavahetusel kiirendatud protsessid või vähemalt luba asuda tööle kohe, kui avaldus on sisse antud. See protsess ei tohi</w:t>
            </w:r>
            <w:r w:rsidRPr="00A87EC6">
              <w:t xml:space="preserve"> kindlasti muutuda tänasest praktikast aeglasemaks. LTR-i puhul selline erisus iduettevõtetele ja tippspetsialistidele hetkel on ja tööle tohib asuda koheselt, kui avaldus on teele pandud.</w:t>
            </w:r>
          </w:p>
        </w:tc>
        <w:tc>
          <w:tcPr>
            <w:tcW w:w="4390" w:type="dxa"/>
            <w:tcBorders>
              <w:top w:val="single" w:sz="4" w:space="0" w:color="auto"/>
              <w:left w:val="single" w:sz="4" w:space="0" w:color="auto"/>
              <w:bottom w:val="single" w:sz="4" w:space="0" w:color="auto"/>
              <w:right w:val="single" w:sz="4" w:space="0" w:color="auto"/>
            </w:tcBorders>
          </w:tcPr>
          <w:p w14:paraId="67D53714" w14:textId="77777777" w:rsidR="002E3F32" w:rsidRPr="007C0B47" w:rsidRDefault="002E3F32" w:rsidP="002E3F32">
            <w:pPr>
              <w:rPr>
                <w:u w:val="single"/>
              </w:rPr>
            </w:pPr>
            <w:r w:rsidRPr="007C0B47">
              <w:rPr>
                <w:u w:val="single"/>
              </w:rPr>
              <w:t>Selgitus</w:t>
            </w:r>
          </w:p>
          <w:p w14:paraId="19569927" w14:textId="166115E4" w:rsidR="00FF4B9A" w:rsidRPr="00FF4B9A" w:rsidRDefault="00FF4B9A" w:rsidP="00FF4B9A">
            <w:pPr>
              <w:jc w:val="both"/>
            </w:pPr>
            <w:r w:rsidRPr="00FF4B9A">
              <w:t>Eelnõu</w:t>
            </w:r>
            <w:r>
              <w:t xml:space="preserve"> kohaselt kohaldatakse</w:t>
            </w:r>
            <w:r w:rsidRPr="00FF4B9A">
              <w:t xml:space="preserve"> töökohavahetuse regulatsioon</w:t>
            </w:r>
            <w:r>
              <w:t>i</w:t>
            </w:r>
            <w:r w:rsidRPr="00FF4B9A">
              <w:t xml:space="preserve"> ühetaoliselt kõikidele töötamise alustele, vältimaks VMS-i erisuste juurde loomist</w:t>
            </w:r>
            <w:r>
              <w:t xml:space="preserve"> ja seeläbi seaduse keerukamaks muutmist. </w:t>
            </w:r>
            <w:r w:rsidRPr="00FF4B9A">
              <w:t xml:space="preserve">Otsus töökohavahetuse registreerimise taotluse kohta tehakse kuni 30 päeva jooksul, mis vastab tavapärasele töösuhte lõpetamise </w:t>
            </w:r>
            <w:r>
              <w:t>etteteatamise ajale ja eelduslikult ei tohiks seega saada takistuseks uue tööandja juures tööle asumisel.</w:t>
            </w:r>
          </w:p>
          <w:p w14:paraId="0BEB8596" w14:textId="509789CB" w:rsidR="002E3F32" w:rsidRPr="00C542C3" w:rsidRDefault="002E3F32" w:rsidP="002E3F32">
            <w:pPr>
              <w:jc w:val="both"/>
              <w:rPr>
                <w:u w:val="single"/>
              </w:rPr>
            </w:pPr>
            <w:r>
              <w:t xml:space="preserve">Selle aasta sügisest rakendab PPA piloodi korras menetluspraktikat, mille puhul vaadatakse </w:t>
            </w:r>
            <w:r w:rsidR="00FF4B9A">
              <w:t xml:space="preserve">strateegilistest sihtriikidest pärit </w:t>
            </w:r>
            <w:r>
              <w:t xml:space="preserve">tippspetsialistide, idu- ja kasvuettevõtete töötajate lühiajalise töötamise ja tähtajalise elamisloa taotlused läbi kiirendatud korras. Eelnõuga planeeritavate muudatuste jõustumisel näeme võimalust hõlmata ka </w:t>
            </w:r>
            <w:r>
              <w:lastRenderedPageBreak/>
              <w:t>töökohavahetuse registreerimise taotlused kiirmenetluse skoopi.</w:t>
            </w:r>
          </w:p>
        </w:tc>
      </w:tr>
      <w:tr w:rsidR="002E3F32" w:rsidRPr="002D2B15" w14:paraId="3089EA43" w14:textId="77777777" w:rsidTr="002E3F32">
        <w:trPr>
          <w:trHeight w:val="566"/>
        </w:trPr>
        <w:tc>
          <w:tcPr>
            <w:tcW w:w="5240" w:type="dxa"/>
            <w:tcBorders>
              <w:top w:val="single" w:sz="4" w:space="0" w:color="auto"/>
              <w:left w:val="single" w:sz="4" w:space="0" w:color="auto"/>
              <w:bottom w:val="single" w:sz="4" w:space="0" w:color="auto"/>
              <w:right w:val="single" w:sz="4" w:space="0" w:color="auto"/>
            </w:tcBorders>
          </w:tcPr>
          <w:p w14:paraId="263433BE" w14:textId="45844507" w:rsidR="002E3F32" w:rsidRPr="007749F4" w:rsidRDefault="002E3F32" w:rsidP="002E3F32">
            <w:pPr>
              <w:jc w:val="both"/>
              <w:rPr>
                <w:rFonts w:cs="Calibri"/>
                <w:b/>
                <w:bCs/>
              </w:rPr>
            </w:pPr>
            <w:r w:rsidRPr="004A3B07">
              <w:rPr>
                <w:b/>
                <w:bCs/>
              </w:rPr>
              <w:lastRenderedPageBreak/>
              <w:t>5.</w:t>
            </w:r>
            <w:r>
              <w:t xml:space="preserve"> </w:t>
            </w:r>
            <w:r w:rsidRPr="00A87EC6">
              <w:t xml:space="preserve">Eelnõuga seatud </w:t>
            </w:r>
            <w:r w:rsidRPr="00FF4B9A">
              <w:t xml:space="preserve">välismaalase töökohavahetuse lihtsustamise eesmärgi toetamiseks teeb ITL täiendava ettepaneku lisada eelnõusse sätted lihtsustamaks </w:t>
            </w:r>
            <w:proofErr w:type="spellStart"/>
            <w:r w:rsidRPr="00FF4B9A">
              <w:t>välistöötaja</w:t>
            </w:r>
            <w:proofErr w:type="spellEnd"/>
            <w:r w:rsidRPr="00FF4B9A">
              <w:t xml:space="preserve"> töökohavahetust ühe emaettevõtte erinevate juriidiliste kehade vahel. Leiame, et sellist tüüpi töökohavahetus peaks toimuma lihtsustatud protsessi järgi. Ettevõttesisesed</w:t>
            </w:r>
            <w:r w:rsidRPr="00A87EC6">
              <w:t xml:space="preserve"> (sh emaettevõtte erinevate juriidiliste kehade vahelised) töökohavahetused on välismaalase karjääri mõttes sagedased ja loogilised, emaettevõtte erinevate juriidiliste kehade eraldi ettevõtetena käsitlemine takistab inimeste kasvamist ettevõtte sees ja nende karjääri. Samuti on see ettevõtjale liigselt halduskoormav.</w:t>
            </w:r>
          </w:p>
        </w:tc>
        <w:tc>
          <w:tcPr>
            <w:tcW w:w="4390" w:type="dxa"/>
            <w:tcBorders>
              <w:top w:val="single" w:sz="4" w:space="0" w:color="auto"/>
              <w:left w:val="single" w:sz="4" w:space="0" w:color="auto"/>
              <w:bottom w:val="single" w:sz="4" w:space="0" w:color="auto"/>
              <w:right w:val="single" w:sz="4" w:space="0" w:color="auto"/>
            </w:tcBorders>
          </w:tcPr>
          <w:p w14:paraId="7E59052A" w14:textId="77777777" w:rsidR="002E3F32" w:rsidRDefault="002E3F32" w:rsidP="002E3F32">
            <w:pPr>
              <w:rPr>
                <w:u w:val="single"/>
              </w:rPr>
            </w:pPr>
            <w:r>
              <w:rPr>
                <w:u w:val="single"/>
              </w:rPr>
              <w:t>Mitte arvestatud</w:t>
            </w:r>
          </w:p>
          <w:p w14:paraId="3828247A" w14:textId="77777777" w:rsidR="002E3F32" w:rsidRPr="00FF4B9A" w:rsidRDefault="002E3F32" w:rsidP="002E3F32">
            <w:pPr>
              <w:jc w:val="both"/>
            </w:pPr>
            <w:r>
              <w:t>Esmalt märgime, et e</w:t>
            </w:r>
            <w:r w:rsidRPr="004141BA">
              <w:t xml:space="preserve">elnõuga võetakse Eesti õigusesse üle direktiiv 2024/1233, mistõttu ei lähe eelnõu muudatused </w:t>
            </w:r>
            <w:r>
              <w:t>direktiivis ette nähtust kaugemale.</w:t>
            </w:r>
            <w:r w:rsidRPr="004141BA">
              <w:t xml:space="preserve"> </w:t>
            </w:r>
            <w:r>
              <w:t xml:space="preserve">Ettepanekus toodu ei ole </w:t>
            </w:r>
            <w:r w:rsidRPr="00FF4B9A">
              <w:t>direktiivi reguleerimisalas.</w:t>
            </w:r>
          </w:p>
          <w:p w14:paraId="3BB1D6CA" w14:textId="312F2ADC" w:rsidR="002E3F32" w:rsidRPr="00C542C3" w:rsidRDefault="002E3F32" w:rsidP="002E3F32">
            <w:pPr>
              <w:jc w:val="both"/>
              <w:rPr>
                <w:u w:val="single"/>
              </w:rPr>
            </w:pPr>
            <w:r w:rsidRPr="00FF4B9A">
              <w:t>Eelnõu kohaselt kohaldub töökohavahetuse regulatsioon</w:t>
            </w:r>
            <w:r w:rsidR="00CA11C9">
              <w:t xml:space="preserve"> </w:t>
            </w:r>
            <w:r w:rsidRPr="00FF4B9A">
              <w:t>ühetaoliselt nii tööandja vahetamisel kui sama tööandja juures uuel töökohal tööle asumisel, kui kvalifikatsiooninõuded muutuvad ja</w:t>
            </w:r>
            <w:r w:rsidRPr="0073146D">
              <w:t xml:space="preserve"> elamisloa tingimused muutuvad</w:t>
            </w:r>
            <w:r>
              <w:t xml:space="preserve">. Samuti kohaldub töökohavahetuse regulatsioon </w:t>
            </w:r>
            <w:r w:rsidR="00FF4B9A">
              <w:t xml:space="preserve">ühetaoliselt </w:t>
            </w:r>
            <w:r>
              <w:t xml:space="preserve">emaettevõtte erineva juriidilise keha juures tööle asumiseks. Töökohavahetuse registreerimise menetlemisel </w:t>
            </w:r>
            <w:r w:rsidRPr="00ED261B">
              <w:t xml:space="preserve">hinnatakse </w:t>
            </w:r>
            <w:r>
              <w:t>uue töökohaga ja ka tööandjaga</w:t>
            </w:r>
            <w:r w:rsidRPr="00ED261B">
              <w:t xml:space="preserve"> seonduvaid asjaolusid, sh VMS-</w:t>
            </w:r>
            <w:proofErr w:type="spellStart"/>
            <w:r w:rsidRPr="00ED261B">
              <w:t>is</w:t>
            </w:r>
            <w:proofErr w:type="spellEnd"/>
            <w:r w:rsidRPr="00ED261B">
              <w:t xml:space="preserve"> sätestatud nõuete täitmist. Iga ettevõte on õiguslikult ja korralduslikult iseseisev majandusüksus, mistõttu </w:t>
            </w:r>
            <w:r>
              <w:t>iga tööandja, st juriidilise keha puhul tuleb kontrollida VMS-</w:t>
            </w:r>
            <w:proofErr w:type="spellStart"/>
            <w:r>
              <w:t>is</w:t>
            </w:r>
            <w:proofErr w:type="spellEnd"/>
            <w:r>
              <w:t xml:space="preserve"> sätestatud tingimuste täitmist. </w:t>
            </w:r>
          </w:p>
        </w:tc>
      </w:tr>
      <w:tr w:rsidR="002E3F32" w:rsidRPr="002D2B15" w14:paraId="7F5CF814" w14:textId="77777777" w:rsidTr="002E3F32">
        <w:trPr>
          <w:trHeight w:val="566"/>
        </w:trPr>
        <w:tc>
          <w:tcPr>
            <w:tcW w:w="524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EF9099F" w14:textId="16426F76" w:rsidR="002E3F32" w:rsidRDefault="002E3F32" w:rsidP="002E3F32">
            <w:pPr>
              <w:jc w:val="both"/>
              <w:rPr>
                <w:b/>
              </w:rPr>
            </w:pPr>
            <w:r w:rsidRPr="00BE0BD7">
              <w:rPr>
                <w:rFonts w:cs="Calibri"/>
                <w:b/>
                <w:bCs/>
              </w:rPr>
              <w:t>Justiits- ja Digiministeerium</w:t>
            </w:r>
          </w:p>
        </w:tc>
        <w:tc>
          <w:tcPr>
            <w:tcW w:w="439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DBAC4DB" w14:textId="77777777" w:rsidR="002E3F32" w:rsidRPr="00A112D3" w:rsidRDefault="002E3F32" w:rsidP="002E3F32">
            <w:pPr>
              <w:jc w:val="both"/>
            </w:pPr>
            <w:r w:rsidRPr="00A112D3">
              <w:t>Markus Ühtigi</w:t>
            </w:r>
          </w:p>
          <w:p w14:paraId="42F3003D" w14:textId="511EC7DF" w:rsidR="002E3F32" w:rsidRDefault="002E3F32" w:rsidP="002E3F32">
            <w:hyperlink r:id="rId12" w:history="1">
              <w:r w:rsidRPr="00F95AAA">
                <w:rPr>
                  <w:rStyle w:val="Hperlink"/>
                </w:rPr>
                <w:t>Märkus.yhtigi@justdigi.ee</w:t>
              </w:r>
            </w:hyperlink>
            <w:r>
              <w:rPr>
                <w:u w:val="single"/>
              </w:rPr>
              <w:t xml:space="preserve"> </w:t>
            </w:r>
          </w:p>
        </w:tc>
      </w:tr>
      <w:tr w:rsidR="002E3F32" w:rsidRPr="002D2B15" w14:paraId="4EE45174" w14:textId="77777777" w:rsidTr="002E3F32">
        <w:trPr>
          <w:trHeight w:val="566"/>
        </w:trPr>
        <w:tc>
          <w:tcPr>
            <w:tcW w:w="5240" w:type="dxa"/>
            <w:tcBorders>
              <w:top w:val="single" w:sz="4" w:space="0" w:color="auto"/>
              <w:left w:val="single" w:sz="4" w:space="0" w:color="auto"/>
              <w:bottom w:val="single" w:sz="4" w:space="0" w:color="auto"/>
              <w:right w:val="single" w:sz="4" w:space="0" w:color="auto"/>
            </w:tcBorders>
            <w:shd w:val="clear" w:color="auto" w:fill="FFFFFF" w:themeFill="background1"/>
          </w:tcPr>
          <w:p w14:paraId="4B882092" w14:textId="77777777" w:rsidR="002E3F32" w:rsidRPr="00BE0BD7" w:rsidRDefault="002E3F32" w:rsidP="002E3F32">
            <w:pPr>
              <w:jc w:val="both"/>
              <w:rPr>
                <w:rFonts w:cs="Calibri"/>
              </w:rPr>
            </w:pPr>
            <w:r w:rsidRPr="00817101">
              <w:rPr>
                <w:rFonts w:cs="Calibri"/>
                <w:b/>
                <w:bCs/>
              </w:rPr>
              <w:t>1.</w:t>
            </w:r>
            <w:r>
              <w:rPr>
                <w:rFonts w:cs="Calibri"/>
              </w:rPr>
              <w:t xml:space="preserve"> </w:t>
            </w:r>
            <w:r w:rsidRPr="00BE0BD7">
              <w:rPr>
                <w:rFonts w:cs="Calibri"/>
              </w:rPr>
              <w:t>25.05.2025 jõustus hea õigusloome ja normitehnika eeskirja</w:t>
            </w:r>
            <w:r w:rsidRPr="00BE0BD7">
              <w:rPr>
                <w:rFonts w:cs="Calibri"/>
                <w:vertAlign w:val="superscript"/>
              </w:rPr>
              <w:footnoteReference w:id="2"/>
            </w:r>
            <w:r w:rsidRPr="00BE0BD7">
              <w:rPr>
                <w:rFonts w:cs="Calibri"/>
              </w:rPr>
              <w:t xml:space="preserve"> (HÕNTE) muudatus, millega kehtestati halduskoormuse tasakaalustamise reegel (HÕNTE § 1 lg 4</w:t>
            </w:r>
            <w:r w:rsidRPr="00BE0BD7">
              <w:rPr>
                <w:rFonts w:cs="Calibri"/>
                <w:vertAlign w:val="superscript"/>
              </w:rPr>
              <w:t>1</w:t>
            </w:r>
            <w:r w:rsidRPr="00BE0BD7">
              <w:rPr>
                <w:rFonts w:cs="Calibri"/>
              </w:rPr>
              <w:t>). Reegli kohaselt tuleb halduskoormust suurendava nõudega kavandada ka halduskoormust vähendav muudatus. Halduskoormuse tasakaalustamise reegli rakendamise juhis on kättesaadav Justiits- ja Digiministeeriumi veebilehel</w:t>
            </w:r>
            <w:r w:rsidRPr="00BE0BD7">
              <w:rPr>
                <w:rFonts w:cs="Calibri"/>
                <w:vertAlign w:val="superscript"/>
              </w:rPr>
              <w:footnoteReference w:id="3"/>
            </w:r>
            <w:r w:rsidRPr="00BE0BD7">
              <w:rPr>
                <w:rFonts w:cs="Calibri"/>
              </w:rPr>
              <w:t>.</w:t>
            </w:r>
          </w:p>
          <w:p w14:paraId="405659FB" w14:textId="77777777" w:rsidR="002E3F32" w:rsidRPr="00BE0BD7" w:rsidRDefault="002E3F32" w:rsidP="002E3F32">
            <w:pPr>
              <w:jc w:val="both"/>
              <w:rPr>
                <w:rFonts w:cs="Calibri"/>
              </w:rPr>
            </w:pPr>
          </w:p>
          <w:p w14:paraId="2CA601E4" w14:textId="4BC6BCF6" w:rsidR="002E3F32" w:rsidRDefault="002E3F32" w:rsidP="002E3F32">
            <w:pPr>
              <w:jc w:val="both"/>
              <w:rPr>
                <w:b/>
              </w:rPr>
            </w:pPr>
            <w:r w:rsidRPr="00BE0BD7">
              <w:rPr>
                <w:rFonts w:cs="Calibri"/>
              </w:rPr>
              <w:t>Eeltoodud HÕNTE muudatustest tulenevalt palume eelnõu seletuskirja sisukokkuvõttes kirjutada, kas eelnõuga kavandatud muudatuste tulemusel halduskoormus suureneb, väheneb või ei muutu. Halduskoormuse kasvamisel palume seletuskirja sisukokkuvõttes märkida, mis meetmega on kavandatud suurenenud halduskoormust tasakaalustada.</w:t>
            </w:r>
          </w:p>
        </w:tc>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tcPr>
          <w:p w14:paraId="7A7AEEF5" w14:textId="77777777" w:rsidR="002E3F32" w:rsidRDefault="002E3F32" w:rsidP="002E3F32">
            <w:pPr>
              <w:jc w:val="both"/>
              <w:rPr>
                <w:u w:val="single"/>
              </w:rPr>
            </w:pPr>
            <w:r>
              <w:rPr>
                <w:u w:val="single"/>
              </w:rPr>
              <w:t>Arvestatud</w:t>
            </w:r>
          </w:p>
          <w:p w14:paraId="77A34D95" w14:textId="1979047A" w:rsidR="002E3F32" w:rsidRDefault="002E3F32" w:rsidP="00A039CE">
            <w:pPr>
              <w:jc w:val="both"/>
            </w:pPr>
            <w:r>
              <w:t>Seletuskirja täiendatud</w:t>
            </w:r>
            <w:r w:rsidR="00A039CE">
              <w:t xml:space="preserve"> </w:t>
            </w:r>
            <w:r w:rsidR="00A039CE" w:rsidRPr="000D674A">
              <w:t xml:space="preserve">vastavalt </w:t>
            </w:r>
            <w:r w:rsidR="00A039CE">
              <w:t>tehtud ettepanekule.</w:t>
            </w:r>
          </w:p>
        </w:tc>
      </w:tr>
      <w:tr w:rsidR="002E3F32" w:rsidRPr="002D2B15" w14:paraId="3EACD447" w14:textId="77777777" w:rsidTr="002E3F32">
        <w:trPr>
          <w:trHeight w:val="566"/>
        </w:trPr>
        <w:tc>
          <w:tcPr>
            <w:tcW w:w="5240" w:type="dxa"/>
            <w:tcBorders>
              <w:top w:val="single" w:sz="4" w:space="0" w:color="auto"/>
              <w:left w:val="single" w:sz="4" w:space="0" w:color="auto"/>
              <w:bottom w:val="single" w:sz="4" w:space="0" w:color="auto"/>
              <w:right w:val="single" w:sz="4" w:space="0" w:color="auto"/>
            </w:tcBorders>
            <w:shd w:val="clear" w:color="auto" w:fill="FFFFFF" w:themeFill="background1"/>
          </w:tcPr>
          <w:p w14:paraId="5C04B683" w14:textId="77777777" w:rsidR="002E3F32" w:rsidRPr="00BE0BD7" w:rsidRDefault="002E3F32" w:rsidP="002E3F32">
            <w:pPr>
              <w:jc w:val="both"/>
              <w:rPr>
                <w:rFonts w:cs="Calibri"/>
              </w:rPr>
            </w:pPr>
            <w:r>
              <w:rPr>
                <w:rFonts w:cs="Calibri"/>
                <w:b/>
                <w:bCs/>
              </w:rPr>
              <w:lastRenderedPageBreak/>
              <w:t xml:space="preserve">2. </w:t>
            </w:r>
            <w:r w:rsidRPr="00BE0BD7">
              <w:rPr>
                <w:rFonts w:cs="Calibri"/>
                <w:b/>
                <w:bCs/>
              </w:rPr>
              <w:t>Eelnõu § 1 punkti 13</w:t>
            </w:r>
            <w:r w:rsidRPr="00BE0BD7">
              <w:rPr>
                <w:rFonts w:cs="Calibri"/>
              </w:rPr>
              <w:t xml:space="preserve"> kohaselt muudetakse VMS</w:t>
            </w:r>
            <w:r>
              <w:rPr>
                <w:rFonts w:cs="Calibri"/>
              </w:rPr>
              <w:t>-i</w:t>
            </w:r>
            <w:r w:rsidRPr="00BE0BD7">
              <w:rPr>
                <w:rFonts w:cs="Calibri"/>
                <w:vertAlign w:val="superscript"/>
              </w:rPr>
              <w:footnoteReference w:id="4"/>
            </w:r>
            <w:r w:rsidRPr="00BE0BD7">
              <w:rPr>
                <w:rFonts w:cs="Calibri"/>
              </w:rPr>
              <w:t xml:space="preserve"> § 189</w:t>
            </w:r>
            <w:r w:rsidRPr="00BE0BD7">
              <w:rPr>
                <w:rFonts w:cs="Calibri"/>
                <w:vertAlign w:val="superscript"/>
              </w:rPr>
              <w:t>2</w:t>
            </w:r>
            <w:r w:rsidRPr="00BE0BD7">
              <w:rPr>
                <w:rFonts w:cs="Calibri"/>
              </w:rPr>
              <w:t>. Muu hulgas luuakse muudatusega alused, mis võimaldavad töötamiseks antud tähtajalise elamisloa kehtivusajal välismaalasel olla teatud kindla perioodi tööta.</w:t>
            </w:r>
          </w:p>
          <w:p w14:paraId="3BDAB587" w14:textId="77777777" w:rsidR="002E3F32" w:rsidRPr="00BE0BD7" w:rsidRDefault="002E3F32" w:rsidP="002E3F32">
            <w:pPr>
              <w:jc w:val="both"/>
              <w:rPr>
                <w:rFonts w:cs="Calibri"/>
              </w:rPr>
            </w:pPr>
          </w:p>
          <w:p w14:paraId="5072D223" w14:textId="77777777" w:rsidR="002E3F32" w:rsidRPr="00BE0BD7" w:rsidRDefault="002E3F32" w:rsidP="002E3F32">
            <w:pPr>
              <w:jc w:val="both"/>
              <w:rPr>
                <w:rFonts w:cs="Calibri"/>
              </w:rPr>
            </w:pPr>
            <w:r w:rsidRPr="00BE0BD7">
              <w:rPr>
                <w:rFonts w:cs="Calibri"/>
              </w:rPr>
              <w:t>Eelnõuga kavandatud VMS § 189</w:t>
            </w:r>
            <w:r w:rsidRPr="00BE0BD7">
              <w:rPr>
                <w:rFonts w:cs="Calibri"/>
                <w:vertAlign w:val="superscript"/>
              </w:rPr>
              <w:t>2</w:t>
            </w:r>
            <w:r w:rsidRPr="00BE0BD7">
              <w:rPr>
                <w:rFonts w:cs="Calibri"/>
              </w:rPr>
              <w:t xml:space="preserve"> lõige 2 punkti 1 kohaselt võib välismaalane töötamiseks antud tähtajalise elamisloa kehtivusajal olla tööta lisaks VMS § 189</w:t>
            </w:r>
            <w:r w:rsidRPr="00BE0BD7">
              <w:rPr>
                <w:rFonts w:cs="Calibri"/>
                <w:vertAlign w:val="superscript"/>
              </w:rPr>
              <w:t>2</w:t>
            </w:r>
            <w:r w:rsidRPr="00BE0BD7">
              <w:rPr>
                <w:rFonts w:cs="Calibri"/>
              </w:rPr>
              <w:t xml:space="preserve"> lõikes 1 sätestatud ajale kuni kolm kuud, kui välismaalane on kannatanu kriminaalmenetluses, mille ese on </w:t>
            </w:r>
            <w:proofErr w:type="spellStart"/>
            <w:r w:rsidRPr="00BE0BD7">
              <w:rPr>
                <w:rFonts w:cs="Calibri"/>
              </w:rPr>
              <w:t>KarS</w:t>
            </w:r>
            <w:proofErr w:type="spellEnd"/>
            <w:r w:rsidRPr="00BE0BD7">
              <w:rPr>
                <w:rFonts w:cs="Calibri"/>
                <w:vertAlign w:val="superscript"/>
              </w:rPr>
              <w:footnoteReference w:id="5"/>
            </w:r>
            <w:r w:rsidRPr="00BE0BD7">
              <w:rPr>
                <w:rFonts w:cs="Calibri"/>
              </w:rPr>
              <w:t xml:space="preserve"> </w:t>
            </w:r>
            <w:bookmarkStart w:id="1" w:name="_Hlk200544644"/>
            <w:r w:rsidRPr="00BE0BD7">
              <w:rPr>
                <w:rFonts w:cs="Calibri"/>
              </w:rPr>
              <w:t>§</w:t>
            </w:r>
            <w:r w:rsidRPr="00BE0BD7">
              <w:rPr>
                <w:rFonts w:cs="Calibri"/>
              </w:rPr>
              <w:noBreakHyphen/>
              <w:t>s 133, 133</w:t>
            </w:r>
            <w:r w:rsidRPr="00BE0BD7">
              <w:rPr>
                <w:rFonts w:cs="Calibri"/>
                <w:vertAlign w:val="superscript"/>
              </w:rPr>
              <w:t>1</w:t>
            </w:r>
            <w:r w:rsidRPr="00BE0BD7">
              <w:rPr>
                <w:rFonts w:cs="Calibri"/>
              </w:rPr>
              <w:t>, 133</w:t>
            </w:r>
            <w:r w:rsidRPr="00BE0BD7">
              <w:rPr>
                <w:rFonts w:cs="Calibri"/>
                <w:vertAlign w:val="superscript"/>
              </w:rPr>
              <w:t>2</w:t>
            </w:r>
            <w:r w:rsidRPr="00BE0BD7">
              <w:rPr>
                <w:rFonts w:cs="Calibri"/>
              </w:rPr>
              <w:t>, 133</w:t>
            </w:r>
            <w:r w:rsidRPr="00BE0BD7">
              <w:rPr>
                <w:rFonts w:cs="Calibri"/>
                <w:vertAlign w:val="superscript"/>
              </w:rPr>
              <w:t>3</w:t>
            </w:r>
            <w:r w:rsidRPr="00BE0BD7">
              <w:rPr>
                <w:rFonts w:cs="Calibri"/>
              </w:rPr>
              <w:t>, 138, 138</w:t>
            </w:r>
            <w:r w:rsidRPr="00BE0BD7">
              <w:rPr>
                <w:rFonts w:cs="Calibri"/>
                <w:vertAlign w:val="superscript"/>
              </w:rPr>
              <w:t>1</w:t>
            </w:r>
            <w:r w:rsidRPr="00BE0BD7">
              <w:rPr>
                <w:rFonts w:cs="Calibri"/>
              </w:rPr>
              <w:t>, 139, 140 või 175 või §</w:t>
            </w:r>
            <w:r>
              <w:rPr>
                <w:rFonts w:cs="Calibri"/>
              </w:rPr>
              <w:t> </w:t>
            </w:r>
            <w:r w:rsidRPr="00BE0BD7">
              <w:rPr>
                <w:rFonts w:cs="Calibri"/>
              </w:rPr>
              <w:t>260</w:t>
            </w:r>
            <w:r w:rsidRPr="00BE0BD7">
              <w:rPr>
                <w:rFonts w:cs="Calibri"/>
                <w:vertAlign w:val="superscript"/>
              </w:rPr>
              <w:t>1</w:t>
            </w:r>
            <w:r w:rsidRPr="00BE0BD7">
              <w:rPr>
                <w:rFonts w:cs="Calibri"/>
              </w:rPr>
              <w:t xml:space="preserve"> lõike 1 punktis 5 sätestatud kuritegu</w:t>
            </w:r>
            <w:bookmarkEnd w:id="1"/>
            <w:r w:rsidRPr="00BE0BD7">
              <w:rPr>
                <w:rFonts w:cs="Calibri"/>
              </w:rPr>
              <w:t>.</w:t>
            </w:r>
          </w:p>
          <w:p w14:paraId="5FF4573D" w14:textId="77777777" w:rsidR="002E3F32" w:rsidRPr="00BE0BD7" w:rsidRDefault="002E3F32" w:rsidP="002E3F32">
            <w:pPr>
              <w:jc w:val="both"/>
              <w:rPr>
                <w:rFonts w:cs="Calibri"/>
              </w:rPr>
            </w:pPr>
          </w:p>
          <w:p w14:paraId="3BC3A6C9" w14:textId="77777777" w:rsidR="002E3F32" w:rsidRPr="00BE0BD7" w:rsidRDefault="002E3F32" w:rsidP="002E3F32">
            <w:pPr>
              <w:jc w:val="both"/>
              <w:rPr>
                <w:rFonts w:cs="Calibri"/>
              </w:rPr>
            </w:pPr>
            <w:r w:rsidRPr="00BE0BD7">
              <w:rPr>
                <w:rFonts w:cs="Calibri"/>
              </w:rPr>
              <w:t>Seletuskirjas puuduvad selgitused, miks kavandatud VMS 189</w:t>
            </w:r>
            <w:r w:rsidRPr="00BE0BD7">
              <w:rPr>
                <w:rFonts w:cs="Calibri"/>
                <w:vertAlign w:val="superscript"/>
              </w:rPr>
              <w:t xml:space="preserve">2 </w:t>
            </w:r>
            <w:r w:rsidRPr="00BE0BD7">
              <w:rPr>
                <w:rFonts w:cs="Calibri"/>
              </w:rPr>
              <w:t xml:space="preserve">§ lõike 2 punkti 1 loetelusse on valitud just need </w:t>
            </w:r>
            <w:proofErr w:type="spellStart"/>
            <w:r w:rsidRPr="00BE0BD7">
              <w:rPr>
                <w:rFonts w:cs="Calibri"/>
              </w:rPr>
              <w:t>KarS</w:t>
            </w:r>
            <w:r>
              <w:rPr>
                <w:rFonts w:cs="Calibri"/>
              </w:rPr>
              <w:t>-i</w:t>
            </w:r>
            <w:proofErr w:type="spellEnd"/>
            <w:r w:rsidRPr="00BE0BD7">
              <w:rPr>
                <w:rFonts w:cs="Calibri"/>
              </w:rPr>
              <w:t xml:space="preserve"> paragrahvid. Seletuskirjas on üksnes viidatud sellele, et eelnõuga üle võetava </w:t>
            </w:r>
            <w:r w:rsidRPr="00BE0BD7">
              <w:rPr>
                <w:rFonts w:cs="Calibri"/>
                <w:bCs/>
              </w:rPr>
              <w:t>Euroopa Parlamendi ja nõukogu 24.04.2024 direktiivi (EL) 2024/1233</w:t>
            </w:r>
            <w:r w:rsidRPr="00BE0BD7">
              <w:rPr>
                <w:rFonts w:cs="Calibri"/>
                <w:bCs/>
                <w:vertAlign w:val="superscript"/>
              </w:rPr>
              <w:footnoteReference w:id="6"/>
            </w:r>
            <w:r w:rsidRPr="00BE0BD7">
              <w:rPr>
                <w:rFonts w:cs="Calibri"/>
              </w:rPr>
              <w:t xml:space="preserve"> artikkel 11 lõike 6 kohaselt võib lubatud tööta olemise periood olla kolme kuu võrra pikem, kui on põhjendatud alust arvata, et ühtse loa omanik on töötanud eriti orjastavates töötingimustes nagu on määratletud Euroopa Parlamendi ja nõukogu direktiivi 2009/52/EP23</w:t>
            </w:r>
            <w:r w:rsidRPr="00BE0BD7">
              <w:rPr>
                <w:rFonts w:cs="Calibri"/>
                <w:vertAlign w:val="superscript"/>
              </w:rPr>
              <w:footnoteReference w:id="7"/>
            </w:r>
            <w:r w:rsidRPr="00BE0BD7">
              <w:rPr>
                <w:rFonts w:cs="Calibri"/>
              </w:rPr>
              <w:t xml:space="preserve"> artikli 2 punktis i.</w:t>
            </w:r>
          </w:p>
          <w:p w14:paraId="5BE24EE0" w14:textId="77777777" w:rsidR="002E3F32" w:rsidRPr="00BE0BD7" w:rsidRDefault="002E3F32" w:rsidP="002E3F32">
            <w:pPr>
              <w:jc w:val="both"/>
              <w:rPr>
                <w:rFonts w:cs="Calibri"/>
              </w:rPr>
            </w:pPr>
          </w:p>
          <w:p w14:paraId="13F8C9C2" w14:textId="77777777" w:rsidR="002E3F32" w:rsidRPr="00BE0BD7" w:rsidRDefault="002E3F32" w:rsidP="002E3F32">
            <w:pPr>
              <w:jc w:val="both"/>
              <w:rPr>
                <w:rFonts w:cs="Calibri"/>
              </w:rPr>
            </w:pPr>
            <w:r w:rsidRPr="00BE0BD7">
              <w:rPr>
                <w:rFonts w:cs="Calibri"/>
              </w:rPr>
              <w:t xml:space="preserve">Euroopa Parlamendi ja nõukogu direktiivi 2009/52/EP23 artikli 2 punktis i on öeldud: „“eriti orjastavad töötingimused“– töötingimused, mille puhul esineb muu hulgas soolisest või muust diskrimineerimisest tulenevalt äärmine ebaproportsionaalsus võrreldes seaduslikult töötavate töötajate töötingimustega, mis mõjutavad näiteks töötajate tervist ja ohutust ning on vastuolus </w:t>
            </w:r>
            <w:proofErr w:type="spellStart"/>
            <w:r w:rsidRPr="00BE0BD7">
              <w:rPr>
                <w:rFonts w:cs="Calibri"/>
              </w:rPr>
              <w:t>inimväärikusega</w:t>
            </w:r>
            <w:proofErr w:type="spellEnd"/>
            <w:r w:rsidRPr="00BE0BD7">
              <w:rPr>
                <w:rFonts w:cs="Calibri"/>
              </w:rPr>
              <w:t xml:space="preserve">“. Seega ei loo direktiivi tekst selgust küsimuses, mis alusel on valitud kavandatud sättes viidatud </w:t>
            </w:r>
            <w:proofErr w:type="spellStart"/>
            <w:r w:rsidRPr="00BE0BD7">
              <w:rPr>
                <w:rFonts w:cs="Calibri"/>
              </w:rPr>
              <w:t>KarS-i</w:t>
            </w:r>
            <w:proofErr w:type="spellEnd"/>
            <w:r w:rsidRPr="00BE0BD7">
              <w:rPr>
                <w:rFonts w:cs="Calibri"/>
              </w:rPr>
              <w:t xml:space="preserve"> paragrahvid. Kui sätte sõnastusel on näiteks võetud eeskuju mõnest teisest seadusest, peaks vastav info seletuskirjas kajastuma.</w:t>
            </w:r>
          </w:p>
          <w:p w14:paraId="4A60DDE9" w14:textId="77777777" w:rsidR="002E3F32" w:rsidRPr="00BE0BD7" w:rsidRDefault="002E3F32" w:rsidP="002E3F32">
            <w:pPr>
              <w:jc w:val="both"/>
              <w:rPr>
                <w:rFonts w:cs="Calibri"/>
              </w:rPr>
            </w:pPr>
          </w:p>
          <w:p w14:paraId="682C959D" w14:textId="012E0399" w:rsidR="002E3F32" w:rsidRDefault="002E3F32" w:rsidP="002E3F32">
            <w:pPr>
              <w:jc w:val="both"/>
              <w:rPr>
                <w:b/>
              </w:rPr>
            </w:pPr>
            <w:r w:rsidRPr="00BE0BD7">
              <w:rPr>
                <w:rFonts w:cs="Calibri"/>
              </w:rPr>
              <w:t xml:space="preserve">Palume eelnõu seletuskirja tehtud märkuse pinnalt täiendada. Samuti palume selguse huvides kirjutada seletuskirjas välja </w:t>
            </w:r>
            <w:proofErr w:type="spellStart"/>
            <w:r w:rsidRPr="00BE0BD7">
              <w:rPr>
                <w:rFonts w:cs="Calibri"/>
              </w:rPr>
              <w:t>KarS</w:t>
            </w:r>
            <w:r>
              <w:rPr>
                <w:rFonts w:cs="Calibri"/>
              </w:rPr>
              <w:t>-i</w:t>
            </w:r>
            <w:proofErr w:type="spellEnd"/>
            <w:r w:rsidRPr="00BE0BD7">
              <w:rPr>
                <w:rFonts w:cs="Calibri"/>
              </w:rPr>
              <w:t xml:space="preserve"> paragrahvide pealkirjad.</w:t>
            </w:r>
          </w:p>
        </w:tc>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tcPr>
          <w:p w14:paraId="00884A6D" w14:textId="77777777" w:rsidR="002E3F32" w:rsidRDefault="002E3F32" w:rsidP="002E3F32">
            <w:pPr>
              <w:jc w:val="both"/>
              <w:rPr>
                <w:u w:val="single"/>
              </w:rPr>
            </w:pPr>
            <w:r>
              <w:rPr>
                <w:u w:val="single"/>
              </w:rPr>
              <w:t>Arvestatud</w:t>
            </w:r>
          </w:p>
          <w:p w14:paraId="11779B35" w14:textId="798BF9FB" w:rsidR="00A039CE" w:rsidRDefault="002E3F32" w:rsidP="002E3F32">
            <w:pPr>
              <w:jc w:val="both"/>
            </w:pPr>
            <w:r w:rsidRPr="00887395">
              <w:t>Seletuskirja</w:t>
            </w:r>
            <w:r w:rsidR="00A039CE">
              <w:t>s</w:t>
            </w:r>
            <w:r w:rsidRPr="00887395">
              <w:t xml:space="preserve"> täiendatu</w:t>
            </w:r>
            <w:r w:rsidR="00A039CE">
              <w:t xml:space="preserve">d selgitustega </w:t>
            </w:r>
            <w:proofErr w:type="spellStart"/>
            <w:r w:rsidR="00A039CE">
              <w:t>KarS-i</w:t>
            </w:r>
            <w:proofErr w:type="spellEnd"/>
            <w:r w:rsidR="00A039CE">
              <w:t xml:space="preserve"> paragrahvide osas</w:t>
            </w:r>
            <w:r w:rsidRPr="00887395">
              <w:t>.</w:t>
            </w:r>
          </w:p>
          <w:p w14:paraId="079BF3FE" w14:textId="2A1562AF" w:rsidR="002E3F32" w:rsidRDefault="002E3F32" w:rsidP="002E3F32">
            <w:pPr>
              <w:jc w:val="both"/>
            </w:pPr>
            <w:r w:rsidRPr="00887395">
              <w:t>Direktiivi</w:t>
            </w:r>
            <w:r w:rsidRPr="007355DD">
              <w:t xml:space="preserve"> artikkel 11 lõike 6 kohaselt võib lubatud tööta olemise periood olla kolme kuu võrra pikem, kui on põhjendatud alust arvata, et ühtse loa omanik on töötanud eriti orjastavates töötingimustes nagu on määratletud</w:t>
            </w:r>
            <w:r>
              <w:t xml:space="preserve"> </w:t>
            </w:r>
            <w:r w:rsidRPr="007355DD">
              <w:t>direktiivi 2009/52/EP artikli 2 punktis i</w:t>
            </w:r>
            <w:r>
              <w:t xml:space="preserve">. Nimetatud sätte kohaselt on </w:t>
            </w:r>
            <w:r w:rsidRPr="007355DD">
              <w:t xml:space="preserve">„eriti orjastavad töötingimused”– töötingimused, mille puhul esineb muu hulgas soolisest või muust diskrimineerimisest tulenevalt äärmine ebaproportsionaalsus võrreldes seaduslikult töötavate töötajate töötingimustega, mis mõjutavad näiteks töötajate tervist ja ohutust ning on vastuolus </w:t>
            </w:r>
            <w:proofErr w:type="spellStart"/>
            <w:r w:rsidRPr="007355DD">
              <w:t>inimväärikusega</w:t>
            </w:r>
            <w:proofErr w:type="spellEnd"/>
            <w:r>
              <w:t xml:space="preserve">. Selle direktiivi ülevõtmisel siseriiklikkusse õigusesse ei defineeritud eriti orjastavate töötingimuste mõistet, vaid nähti ette, et see hõlmab nii tööorjust inimkaubanduse koosseisuna kui </w:t>
            </w:r>
            <w:proofErr w:type="spellStart"/>
            <w:r>
              <w:t>inimväärikust</w:t>
            </w:r>
            <w:proofErr w:type="spellEnd"/>
            <w:r>
              <w:t xml:space="preserve"> alandavaid töötingimusi ja välismaalase elu ja tervist ohustavaid töötingimusi ilma inimkaubanduse koosseisuta. Sellest tulenevalt täiendati </w:t>
            </w:r>
            <w:proofErr w:type="spellStart"/>
            <w:r>
              <w:t>KarS-i</w:t>
            </w:r>
            <w:proofErr w:type="spellEnd"/>
            <w:r>
              <w:t xml:space="preserve"> §-ga 260</w:t>
            </w:r>
            <w:r w:rsidRPr="00200CF0">
              <w:rPr>
                <w:vertAlign w:val="superscript"/>
              </w:rPr>
              <w:t>1</w:t>
            </w:r>
            <w:r>
              <w:t xml:space="preserve"> ja sätestati VMS-i kriminaalmenetluses osalemiseks tähtajalise elamisloa andmise alus viidates </w:t>
            </w:r>
            <w:proofErr w:type="spellStart"/>
            <w:r>
              <w:t>KarS-i</w:t>
            </w:r>
            <w:proofErr w:type="spellEnd"/>
            <w:r>
              <w:t xml:space="preserve"> paragrahvidele, mida hiljem on muudetud ja täiendatud. </w:t>
            </w:r>
            <w:proofErr w:type="spellStart"/>
            <w:r>
              <w:t>KarS-i</w:t>
            </w:r>
            <w:proofErr w:type="spellEnd"/>
            <w:r>
              <w:t xml:space="preserve"> paragrahvid, mille puhul saab anda tähtajalise elamisloa kriminaalmenetluses osalemiseks on järgmised:</w:t>
            </w:r>
          </w:p>
          <w:p w14:paraId="04EC1A31" w14:textId="77777777" w:rsidR="002E3F32" w:rsidRDefault="002E3F32" w:rsidP="002E3F32">
            <w:pPr>
              <w:jc w:val="both"/>
            </w:pPr>
            <w:r w:rsidRPr="00F0154B">
              <w:t>§</w:t>
            </w:r>
            <w:r>
              <w:t xml:space="preserve"> </w:t>
            </w:r>
            <w:r w:rsidRPr="00F0154B">
              <w:t>133</w:t>
            </w:r>
            <w:r>
              <w:t xml:space="preserve">. </w:t>
            </w:r>
            <w:r w:rsidRPr="00AF4971">
              <w:t>Inimkaubandus</w:t>
            </w:r>
            <w:r>
              <w:t>;</w:t>
            </w:r>
          </w:p>
          <w:p w14:paraId="70B56A48" w14:textId="77777777" w:rsidR="002E3F32" w:rsidRDefault="002E3F32" w:rsidP="002E3F32">
            <w:pPr>
              <w:jc w:val="both"/>
            </w:pPr>
            <w:r>
              <w:t xml:space="preserve">§ </w:t>
            </w:r>
            <w:r w:rsidRPr="00F0154B">
              <w:t>133</w:t>
            </w:r>
            <w:r w:rsidRPr="00F0154B">
              <w:rPr>
                <w:vertAlign w:val="superscript"/>
              </w:rPr>
              <w:t>1</w:t>
            </w:r>
            <w:r>
              <w:t xml:space="preserve">. </w:t>
            </w:r>
            <w:r w:rsidRPr="00AF4971">
              <w:t>Inimkaubanduse toetamine</w:t>
            </w:r>
            <w:r>
              <w:t>;</w:t>
            </w:r>
          </w:p>
          <w:p w14:paraId="7ABB2F3F" w14:textId="77777777" w:rsidR="002E3F32" w:rsidRDefault="002E3F32" w:rsidP="002E3F32">
            <w:pPr>
              <w:jc w:val="both"/>
            </w:pPr>
            <w:r>
              <w:t xml:space="preserve">§ </w:t>
            </w:r>
            <w:r w:rsidRPr="00F0154B">
              <w:t>133</w:t>
            </w:r>
            <w:r w:rsidRPr="00F0154B">
              <w:rPr>
                <w:vertAlign w:val="superscript"/>
              </w:rPr>
              <w:t>2</w:t>
            </w:r>
            <w:r>
              <w:t xml:space="preserve">. </w:t>
            </w:r>
            <w:r w:rsidRPr="00AF4971">
              <w:t>Kupeldamine</w:t>
            </w:r>
            <w:r>
              <w:t>;</w:t>
            </w:r>
          </w:p>
          <w:p w14:paraId="7A107972" w14:textId="77777777" w:rsidR="002E3F32" w:rsidRDefault="002E3F32" w:rsidP="002E3F32">
            <w:pPr>
              <w:jc w:val="both"/>
            </w:pPr>
            <w:r>
              <w:t xml:space="preserve">§ </w:t>
            </w:r>
            <w:r w:rsidRPr="00F0154B">
              <w:t>133</w:t>
            </w:r>
            <w:r w:rsidRPr="00F0154B">
              <w:rPr>
                <w:vertAlign w:val="superscript"/>
              </w:rPr>
              <w:t>3</w:t>
            </w:r>
            <w:r>
              <w:t xml:space="preserve">. </w:t>
            </w:r>
            <w:r w:rsidRPr="00F0154B">
              <w:t>Prostitutsioonile kaasaaitamine</w:t>
            </w:r>
            <w:r>
              <w:t>;</w:t>
            </w:r>
          </w:p>
          <w:p w14:paraId="65100A77" w14:textId="77777777" w:rsidR="002E3F32" w:rsidRDefault="002E3F32" w:rsidP="002E3F32">
            <w:pPr>
              <w:jc w:val="both"/>
            </w:pPr>
            <w:r>
              <w:t xml:space="preserve">§ </w:t>
            </w:r>
            <w:r w:rsidRPr="00F0154B">
              <w:t>138</w:t>
            </w:r>
            <w:r>
              <w:t xml:space="preserve">. </w:t>
            </w:r>
            <w:r w:rsidRPr="00F0154B">
              <w:t xml:space="preserve">Ebaseaduslik </w:t>
            </w:r>
            <w:proofErr w:type="spellStart"/>
            <w:r w:rsidRPr="00F0154B">
              <w:t>inimuuringute</w:t>
            </w:r>
            <w:proofErr w:type="spellEnd"/>
            <w:r w:rsidRPr="00F0154B">
              <w:t xml:space="preserve"> tegemine</w:t>
            </w:r>
            <w:r>
              <w:t>;</w:t>
            </w:r>
          </w:p>
          <w:p w14:paraId="336E6168" w14:textId="77777777" w:rsidR="002E3F32" w:rsidRDefault="002E3F32" w:rsidP="002E3F32">
            <w:pPr>
              <w:jc w:val="both"/>
            </w:pPr>
            <w:r>
              <w:t xml:space="preserve">§ </w:t>
            </w:r>
            <w:r w:rsidRPr="00F0154B">
              <w:t>138</w:t>
            </w:r>
            <w:r w:rsidRPr="00F0154B">
              <w:rPr>
                <w:vertAlign w:val="superscript"/>
              </w:rPr>
              <w:t>1</w:t>
            </w:r>
            <w:r>
              <w:t xml:space="preserve">. </w:t>
            </w:r>
            <w:r w:rsidRPr="00F0154B">
              <w:t>Doonorlusele sundimine</w:t>
            </w:r>
            <w:r>
              <w:t>;</w:t>
            </w:r>
          </w:p>
          <w:p w14:paraId="2C9B9505" w14:textId="77777777" w:rsidR="002E3F32" w:rsidRDefault="002E3F32" w:rsidP="002E3F32">
            <w:pPr>
              <w:jc w:val="both"/>
            </w:pPr>
            <w:r>
              <w:t xml:space="preserve">§ </w:t>
            </w:r>
            <w:r w:rsidRPr="00F0154B">
              <w:t>139</w:t>
            </w:r>
            <w:r>
              <w:t xml:space="preserve">. </w:t>
            </w:r>
            <w:r w:rsidRPr="00F0154B">
              <w:t>Ebaseaduslik siirdematerjali võtmine</w:t>
            </w:r>
            <w:r>
              <w:t>;</w:t>
            </w:r>
          </w:p>
          <w:p w14:paraId="67B0AA2B" w14:textId="77777777" w:rsidR="002E3F32" w:rsidRDefault="002E3F32" w:rsidP="002E3F32">
            <w:pPr>
              <w:jc w:val="both"/>
            </w:pPr>
            <w:r>
              <w:t xml:space="preserve">§ </w:t>
            </w:r>
            <w:r w:rsidRPr="00F0154B">
              <w:t>140</w:t>
            </w:r>
            <w:r>
              <w:t xml:space="preserve">. </w:t>
            </w:r>
            <w:r w:rsidRPr="00F0154B">
              <w:t>Doonorlusele kallutamine</w:t>
            </w:r>
            <w:r>
              <w:t>;</w:t>
            </w:r>
          </w:p>
          <w:p w14:paraId="7F7D2D27" w14:textId="77777777" w:rsidR="002E3F32" w:rsidRDefault="002E3F32" w:rsidP="002E3F32">
            <w:pPr>
              <w:jc w:val="both"/>
            </w:pPr>
            <w:r>
              <w:t xml:space="preserve">§ </w:t>
            </w:r>
            <w:r w:rsidRPr="00F0154B">
              <w:t>175</w:t>
            </w:r>
            <w:r>
              <w:t xml:space="preserve">. </w:t>
            </w:r>
            <w:r w:rsidRPr="00F0154B">
              <w:t>Inimkaubandus alaealise suhtes</w:t>
            </w:r>
            <w:r>
              <w:t>;</w:t>
            </w:r>
          </w:p>
          <w:p w14:paraId="003A22D7" w14:textId="77777777" w:rsidR="002E3F32" w:rsidRDefault="002E3F32" w:rsidP="002E3F32">
            <w:pPr>
              <w:jc w:val="both"/>
            </w:pPr>
            <w:r w:rsidRPr="00F0154B">
              <w:lastRenderedPageBreak/>
              <w:t>§ 260</w:t>
            </w:r>
            <w:r w:rsidRPr="00F0154B">
              <w:rPr>
                <w:vertAlign w:val="superscript"/>
              </w:rPr>
              <w:t>1</w:t>
            </w:r>
            <w:r>
              <w:t xml:space="preserve">. </w:t>
            </w:r>
            <w:r w:rsidRPr="00F0154B">
              <w:t>Eestis ilma seadusliku aluseta viibivale välismaalasele töötamise võimaldamine</w:t>
            </w:r>
            <w:r>
              <w:t>.</w:t>
            </w:r>
          </w:p>
          <w:p w14:paraId="51573459" w14:textId="77777777" w:rsidR="002E3F32" w:rsidRDefault="002E3F32" w:rsidP="002E3F32">
            <w:pPr>
              <w:jc w:val="both"/>
            </w:pPr>
          </w:p>
          <w:p w14:paraId="117488B2" w14:textId="258BB537" w:rsidR="002E3F32" w:rsidRDefault="002E3F32" w:rsidP="00A039CE">
            <w:pPr>
              <w:jc w:val="both"/>
            </w:pPr>
            <w:r>
              <w:rPr>
                <w:lang w:eastAsia="et-EE"/>
              </w:rPr>
              <w:t xml:space="preserve">Samadel alustel võib välismaalasele anda ka tähtajalise elamisloa kriminaalmenetluses osalemiseks: VMS § 203 lõige 1 punkti 1 kohaselt võib välismaalasele anda tähtajalise elamisloa kriminaalmenetluses osalemiseks, kui ta on </w:t>
            </w:r>
            <w:r w:rsidRPr="00231BD0">
              <w:rPr>
                <w:lang w:eastAsia="et-EE"/>
              </w:rPr>
              <w:t xml:space="preserve">kannatanu kriminaalmenetluses, mille esemeks on </w:t>
            </w:r>
            <w:proofErr w:type="spellStart"/>
            <w:r>
              <w:rPr>
                <w:lang w:eastAsia="et-EE"/>
              </w:rPr>
              <w:t>KarS-i</w:t>
            </w:r>
            <w:proofErr w:type="spellEnd"/>
            <w:r w:rsidRPr="00231BD0">
              <w:rPr>
                <w:lang w:eastAsia="et-EE"/>
              </w:rPr>
              <w:t xml:space="preserve"> §-des 133–133</w:t>
            </w:r>
            <w:r w:rsidRPr="00231BD0">
              <w:rPr>
                <w:vertAlign w:val="superscript"/>
                <w:lang w:eastAsia="et-EE"/>
              </w:rPr>
              <w:t>3</w:t>
            </w:r>
            <w:r w:rsidRPr="00231BD0">
              <w:rPr>
                <w:lang w:eastAsia="et-EE"/>
              </w:rPr>
              <w:t>, 138–140, §-s 145</w:t>
            </w:r>
            <w:r w:rsidRPr="00231BD0">
              <w:rPr>
                <w:vertAlign w:val="superscript"/>
                <w:lang w:eastAsia="et-EE"/>
              </w:rPr>
              <w:t>1</w:t>
            </w:r>
            <w:r w:rsidRPr="00231BD0">
              <w:rPr>
                <w:lang w:eastAsia="et-EE"/>
              </w:rPr>
              <w:t>, 175 või § 260</w:t>
            </w:r>
            <w:r w:rsidRPr="00231BD0">
              <w:rPr>
                <w:vertAlign w:val="superscript"/>
                <w:lang w:eastAsia="et-EE"/>
              </w:rPr>
              <w:t>1</w:t>
            </w:r>
            <w:r w:rsidRPr="00231BD0">
              <w:rPr>
                <w:lang w:eastAsia="et-EE"/>
              </w:rPr>
              <w:t> lõike 1 punktis 3 või 5 sätestatud kuritegu</w:t>
            </w:r>
            <w:r>
              <w:rPr>
                <w:lang w:eastAsia="et-EE"/>
              </w:rPr>
              <w:t xml:space="preserve">. VMS § 204 kohaselt teavitatakse sellises olukorras välismaalast kriminaalmenetluses osalemiseks tähtajalise elamisloa andmise ja rahvusvahelise kaitse saamise võimalusest ja tingimusest. </w:t>
            </w:r>
            <w:bookmarkStart w:id="2" w:name="_Hlk209603099"/>
            <w:r>
              <w:rPr>
                <w:lang w:eastAsia="et-EE"/>
              </w:rPr>
              <w:t xml:space="preserve">Täiendavalt </w:t>
            </w:r>
            <w:r w:rsidR="00A039CE">
              <w:rPr>
                <w:lang w:eastAsia="et-EE"/>
              </w:rPr>
              <w:t xml:space="preserve">kehtivale korrale, mis võimaldab anda </w:t>
            </w:r>
            <w:r>
              <w:rPr>
                <w:lang w:eastAsia="et-EE"/>
              </w:rPr>
              <w:t>välismaalasel</w:t>
            </w:r>
            <w:r w:rsidR="00A039CE">
              <w:rPr>
                <w:lang w:eastAsia="et-EE"/>
              </w:rPr>
              <w:t>e</w:t>
            </w:r>
            <w:r>
              <w:rPr>
                <w:lang w:eastAsia="et-EE"/>
              </w:rPr>
              <w:t xml:space="preserve">, kes töötas eriti orjastavates tingimustes </w:t>
            </w:r>
            <w:bookmarkStart w:id="3" w:name="_Hlk207698263"/>
            <w:r>
              <w:rPr>
                <w:lang w:eastAsia="et-EE"/>
              </w:rPr>
              <w:t xml:space="preserve">(st </w:t>
            </w:r>
            <w:r w:rsidRPr="00231BD0">
              <w:rPr>
                <w:lang w:eastAsia="et-EE"/>
              </w:rPr>
              <w:t xml:space="preserve">kannatanu kriminaalmenetluses, mille esemeks on </w:t>
            </w:r>
            <w:proofErr w:type="spellStart"/>
            <w:r>
              <w:rPr>
                <w:lang w:eastAsia="et-EE"/>
              </w:rPr>
              <w:t>KarS-i</w:t>
            </w:r>
            <w:proofErr w:type="spellEnd"/>
            <w:r w:rsidRPr="00231BD0">
              <w:rPr>
                <w:lang w:eastAsia="et-EE"/>
              </w:rPr>
              <w:t xml:space="preserve"> §-des 133–133</w:t>
            </w:r>
            <w:r w:rsidRPr="00231BD0">
              <w:rPr>
                <w:vertAlign w:val="superscript"/>
                <w:lang w:eastAsia="et-EE"/>
              </w:rPr>
              <w:t>3</w:t>
            </w:r>
            <w:r w:rsidRPr="00231BD0">
              <w:rPr>
                <w:lang w:eastAsia="et-EE"/>
              </w:rPr>
              <w:t>, 138–140, §-s 145</w:t>
            </w:r>
            <w:r w:rsidRPr="00231BD0">
              <w:rPr>
                <w:vertAlign w:val="superscript"/>
                <w:lang w:eastAsia="et-EE"/>
              </w:rPr>
              <w:t>1</w:t>
            </w:r>
            <w:r w:rsidRPr="00231BD0">
              <w:rPr>
                <w:lang w:eastAsia="et-EE"/>
              </w:rPr>
              <w:t>, 175 või § 260</w:t>
            </w:r>
            <w:r w:rsidRPr="00231BD0">
              <w:rPr>
                <w:vertAlign w:val="superscript"/>
                <w:lang w:eastAsia="et-EE"/>
              </w:rPr>
              <w:t>1</w:t>
            </w:r>
            <w:r w:rsidRPr="00231BD0">
              <w:rPr>
                <w:lang w:eastAsia="et-EE"/>
              </w:rPr>
              <w:t> lõike 1 punktis 3 või 5 sätestatud kuritegu</w:t>
            </w:r>
            <w:r>
              <w:rPr>
                <w:lang w:eastAsia="et-EE"/>
              </w:rPr>
              <w:t>)</w:t>
            </w:r>
            <w:r w:rsidR="00A039CE">
              <w:rPr>
                <w:lang w:eastAsia="et-EE"/>
              </w:rPr>
              <w:t xml:space="preserve"> tähtajalise elamisloa kriminaalmenetluses</w:t>
            </w:r>
            <w:r>
              <w:rPr>
                <w:lang w:eastAsia="et-EE"/>
              </w:rPr>
              <w:t xml:space="preserve">, </w:t>
            </w:r>
            <w:bookmarkEnd w:id="3"/>
            <w:r w:rsidR="00A039CE">
              <w:rPr>
                <w:lang w:eastAsia="et-EE"/>
              </w:rPr>
              <w:t>võimaldatakse eelnõuga sellel välismaalasel olla</w:t>
            </w:r>
            <w:r>
              <w:rPr>
                <w:lang w:eastAsia="et-EE"/>
              </w:rPr>
              <w:t xml:space="preserve"> kehtiva töötamiseks antud elamisloaga Eestis tööta </w:t>
            </w:r>
            <w:r w:rsidRPr="005F73B7">
              <w:rPr>
                <w:lang w:eastAsia="et-EE"/>
              </w:rPr>
              <w:t>kuni kuus kuud, kui tal on olnud elamisluba töötamiseks vähem kui kaks aastat, või kuni üheksa kuud, kui tal olnud elamisluba töötamiseks vähemalt kaks aastat.</w:t>
            </w:r>
            <w:r>
              <w:rPr>
                <w:lang w:eastAsia="et-EE"/>
              </w:rPr>
              <w:t xml:space="preserve"> </w:t>
            </w:r>
            <w:r w:rsidR="00A039CE">
              <w:rPr>
                <w:lang w:eastAsia="et-EE"/>
              </w:rPr>
              <w:t>Seega laieneb eriti orjastavates töötingimustes töötanud välismaalase võimalus töösuhte lõppemise järgselt valida, millise tähtajalise elamisloa alusel ta riigis viibimist jätkab.</w:t>
            </w:r>
            <w:bookmarkEnd w:id="2"/>
          </w:p>
        </w:tc>
      </w:tr>
      <w:tr w:rsidR="002E3F32" w:rsidRPr="002D2B15" w14:paraId="47E00527" w14:textId="77777777" w:rsidTr="002E3F32">
        <w:trPr>
          <w:trHeight w:val="566"/>
        </w:trPr>
        <w:tc>
          <w:tcPr>
            <w:tcW w:w="5240" w:type="dxa"/>
            <w:tcBorders>
              <w:top w:val="single" w:sz="4" w:space="0" w:color="auto"/>
              <w:left w:val="single" w:sz="4" w:space="0" w:color="auto"/>
              <w:bottom w:val="single" w:sz="4" w:space="0" w:color="auto"/>
              <w:right w:val="single" w:sz="4" w:space="0" w:color="auto"/>
            </w:tcBorders>
            <w:shd w:val="clear" w:color="auto" w:fill="FFFFFF" w:themeFill="background1"/>
          </w:tcPr>
          <w:p w14:paraId="61A11B65" w14:textId="77777777" w:rsidR="002E3F32" w:rsidRPr="00AF4971" w:rsidRDefault="002E3F32" w:rsidP="002E3F32">
            <w:pPr>
              <w:jc w:val="both"/>
              <w:rPr>
                <w:rFonts w:cs="Calibri"/>
              </w:rPr>
            </w:pPr>
            <w:r w:rsidRPr="00AF4971">
              <w:rPr>
                <w:rFonts w:cs="Calibri"/>
                <w:b/>
                <w:bCs/>
              </w:rPr>
              <w:lastRenderedPageBreak/>
              <w:t>3. Eelnõu § 1 punkti 18</w:t>
            </w:r>
            <w:r w:rsidRPr="00AF4971">
              <w:rPr>
                <w:rFonts w:cs="Calibri"/>
              </w:rPr>
              <w:t xml:space="preserve"> kohaselt täiendatakse VMS §-ga 301</w:t>
            </w:r>
            <w:r w:rsidRPr="00AF4971">
              <w:rPr>
                <w:rFonts w:cs="Calibri"/>
                <w:vertAlign w:val="superscript"/>
              </w:rPr>
              <w:t>1</w:t>
            </w:r>
            <w:r w:rsidRPr="00AF4971">
              <w:rPr>
                <w:rFonts w:cs="Calibri"/>
              </w:rPr>
              <w:t xml:space="preserve">, milles sätestatakse tööandja vastutus riigilõivu sissenõudmise keelu rikkumise eest. Seletuskirjas (lk 31) on selgitatud: </w:t>
            </w:r>
            <w:r w:rsidRPr="00AF4971">
              <w:rPr>
                <w:rFonts w:cs="Calibri"/>
                <w:i/>
                <w:iCs/>
              </w:rPr>
              <w:t>„Eelnevast lähtuvalt nähakse eelnõu § 1 punktiga 18 tööandjale ette ka karistus, kui ta on välismaalaselt töötamiseks antud elamisloa riigilõivu sisse nõudnud. Muudatuste järgselt võib tööandjat, tema juhatuse liiget või muud esindajat, kellele oli vastava kohustuse täitmine delegeeritud, keelu rikkumise korral karistada rahatrahviga kuni 300 trahviühikut. Samas ulatuses on sätestatud VMS-</w:t>
            </w:r>
            <w:proofErr w:type="spellStart"/>
            <w:r w:rsidRPr="00AF4971">
              <w:rPr>
                <w:rFonts w:cs="Calibri"/>
                <w:i/>
                <w:iCs/>
              </w:rPr>
              <w:t>is</w:t>
            </w:r>
            <w:proofErr w:type="spellEnd"/>
            <w:r w:rsidRPr="00AF4971">
              <w:rPr>
                <w:rFonts w:cs="Calibri"/>
                <w:i/>
                <w:iCs/>
              </w:rPr>
              <w:t xml:space="preserve"> näiteks karistus välismaalase Eestis töötamise tingimuste </w:t>
            </w:r>
            <w:r w:rsidRPr="00AF4971">
              <w:rPr>
                <w:rFonts w:cs="Calibri"/>
                <w:i/>
                <w:iCs/>
              </w:rPr>
              <w:lastRenderedPageBreak/>
              <w:t>rikkumise eest (VMS-i § 301) või Eestis ilma seadusliku aluseta viibival välismaalasel töötamise võimaldamise eest (VMS-i § 300). Kuigi VMS-</w:t>
            </w:r>
            <w:proofErr w:type="spellStart"/>
            <w:r w:rsidRPr="00AF4971">
              <w:rPr>
                <w:rFonts w:cs="Calibri"/>
                <w:i/>
                <w:iCs/>
              </w:rPr>
              <w:t>is</w:t>
            </w:r>
            <w:proofErr w:type="spellEnd"/>
            <w:r w:rsidRPr="00AF4971">
              <w:rPr>
                <w:rFonts w:cs="Calibri"/>
                <w:i/>
                <w:iCs/>
              </w:rPr>
              <w:t xml:space="preserve"> on teatud rikkumiste puhul võimalik karistada juriidilist isikut rahatrahviga kuni 32 000 eurot, ei ole nii kõrge trahvimäära kehtestamine riigilõivu sisse nõudmise karistusena proportsionaalne.“</w:t>
            </w:r>
            <w:r w:rsidRPr="00AF4971">
              <w:rPr>
                <w:rFonts w:cs="Calibri"/>
              </w:rPr>
              <w:t>.</w:t>
            </w:r>
          </w:p>
          <w:p w14:paraId="7CA4D80A" w14:textId="77777777" w:rsidR="002E3F32" w:rsidRPr="00AF4971" w:rsidRDefault="002E3F32" w:rsidP="002E3F32">
            <w:pPr>
              <w:jc w:val="both"/>
              <w:rPr>
                <w:rFonts w:cs="Calibri"/>
              </w:rPr>
            </w:pPr>
          </w:p>
          <w:p w14:paraId="5B00FC7B" w14:textId="77777777" w:rsidR="002E3F32" w:rsidRPr="00AF4971" w:rsidRDefault="002E3F32" w:rsidP="002E3F32">
            <w:pPr>
              <w:jc w:val="both"/>
              <w:rPr>
                <w:rFonts w:cs="Calibri"/>
              </w:rPr>
            </w:pPr>
            <w:r w:rsidRPr="00AF4971">
              <w:rPr>
                <w:rFonts w:cs="Calibri"/>
              </w:rPr>
              <w:t>Seletuskirjast ei selgu, miks ei ole kavandatud juriidilise isiku vastutust. Trahviühikutes määratakse rahatrahv füüsilisele isikule. Kui seletuskirjas tuuakse näiteks VMS §-d 300 ja 301, siis mõlemates on juriidilise isiku vastutus eraldi lõigetes 2 sätestatud.</w:t>
            </w:r>
          </w:p>
          <w:p w14:paraId="4FE2D678" w14:textId="77777777" w:rsidR="002E3F32" w:rsidRPr="00AF4971" w:rsidRDefault="002E3F32" w:rsidP="002E3F32">
            <w:pPr>
              <w:jc w:val="both"/>
              <w:rPr>
                <w:rFonts w:cs="Calibri"/>
              </w:rPr>
            </w:pPr>
          </w:p>
          <w:p w14:paraId="4C4AA6FD" w14:textId="77777777" w:rsidR="002E3F32" w:rsidRPr="00AF4971" w:rsidRDefault="002E3F32" w:rsidP="002E3F32">
            <w:pPr>
              <w:jc w:val="both"/>
              <w:rPr>
                <w:rFonts w:cs="Calibri"/>
              </w:rPr>
            </w:pPr>
            <w:proofErr w:type="spellStart"/>
            <w:r w:rsidRPr="00AF4971">
              <w:rPr>
                <w:rFonts w:cs="Calibri"/>
              </w:rPr>
              <w:t>KarS</w:t>
            </w:r>
            <w:proofErr w:type="spellEnd"/>
            <w:r w:rsidRPr="00AF4971">
              <w:rPr>
                <w:rFonts w:cs="Calibri"/>
              </w:rPr>
              <w:t xml:space="preserve"> § 14 kohaselt vastutab juriidiline isik siis, kui see on seaduses ettenähtud. Juriidilise isiku vastutusele võtmine ei eelda ega välista süüteo toime pannud füüsilise isiku vastutusele võtmist, kui seaduses on ette nähtud ka füüsilise isiku vastutus. Eelnõus kavandatu kohaselt on füüsilisele isikule ette nähtud maksimaalne võimalik karistus, kuid juriidiline isik on jäetud vastutuseta.</w:t>
            </w:r>
          </w:p>
          <w:p w14:paraId="66F5193D" w14:textId="77777777" w:rsidR="002E3F32" w:rsidRPr="00AF4971" w:rsidRDefault="002E3F32" w:rsidP="002E3F32">
            <w:pPr>
              <w:jc w:val="both"/>
              <w:rPr>
                <w:rFonts w:cs="Calibri"/>
              </w:rPr>
            </w:pPr>
          </w:p>
          <w:p w14:paraId="075889CE" w14:textId="63D6377D" w:rsidR="002E3F32" w:rsidRDefault="002E3F32" w:rsidP="002E3F32">
            <w:pPr>
              <w:jc w:val="both"/>
              <w:rPr>
                <w:b/>
              </w:rPr>
            </w:pPr>
            <w:r w:rsidRPr="00AF4971">
              <w:rPr>
                <w:rFonts w:cs="Calibri"/>
              </w:rPr>
              <w:t xml:space="preserve">Justiits- ja Digiministeerium on seisukohal, et kuni 32 000-eurone rahatrahv juriidilisele isikule ei ole proportsionaalne karistus, eriti arvestades asjaolu, et </w:t>
            </w:r>
            <w:proofErr w:type="spellStart"/>
            <w:r w:rsidRPr="00AF4971">
              <w:rPr>
                <w:rFonts w:cs="Calibri"/>
              </w:rPr>
              <w:t>KarS</w:t>
            </w:r>
            <w:proofErr w:type="spellEnd"/>
            <w:r w:rsidRPr="00AF4971">
              <w:rPr>
                <w:rFonts w:cs="Calibri"/>
              </w:rPr>
              <w:t xml:space="preserve"> § 47 lõike 2 kohaselt võib kohus või kohtuväline menetleja juriidilisele isikule väärteo eest kohaldada rahatrahvi 100–400 000 eurot. Seega jääb 32 000 eurot maksimaalsest lubatud määrast väga kaugele. Kui füüsilisele isikule on kavandatud maksimaalne võimalik karistus (300 trahviühikut), siis 32 000 eurot juriidilise isiku puhul seda ei ole. Palume kavandada eelnõu § 1 punkti 18 juriidilise isiku vastutus suuruses, mis oleks proportsionaalne arvestades füüsilisele isikule kavandatud vastutust.</w:t>
            </w:r>
          </w:p>
        </w:tc>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tcPr>
          <w:p w14:paraId="2C1B99B1" w14:textId="77777777" w:rsidR="002E3F32" w:rsidRDefault="002E3F32" w:rsidP="002E3F32">
            <w:pPr>
              <w:jc w:val="both"/>
              <w:rPr>
                <w:u w:val="single"/>
              </w:rPr>
            </w:pPr>
            <w:r>
              <w:rPr>
                <w:u w:val="single"/>
              </w:rPr>
              <w:lastRenderedPageBreak/>
              <w:t>Arvestatud</w:t>
            </w:r>
          </w:p>
          <w:p w14:paraId="6AAB476D" w14:textId="1020F024" w:rsidR="002E3F32" w:rsidRDefault="002E3F32" w:rsidP="006A4C41">
            <w:pPr>
              <w:jc w:val="both"/>
            </w:pPr>
            <w:r w:rsidRPr="00ED7620">
              <w:t>Eelnõu</w:t>
            </w:r>
            <w:r w:rsidR="006A4C41">
              <w:t xml:space="preserve"> ja seletuskirja</w:t>
            </w:r>
            <w:r w:rsidRPr="00ED7620">
              <w:t xml:space="preserve"> täiendatud juriidilise isiku karistuse</w:t>
            </w:r>
            <w:r w:rsidR="006A4C41">
              <w:t xml:space="preserve"> sättega.</w:t>
            </w:r>
          </w:p>
        </w:tc>
      </w:tr>
      <w:tr w:rsidR="002E3F32" w:rsidRPr="002D2B15" w14:paraId="3B256CC9" w14:textId="77777777" w:rsidTr="002E3F32">
        <w:trPr>
          <w:trHeight w:val="566"/>
        </w:trPr>
        <w:tc>
          <w:tcPr>
            <w:tcW w:w="5240" w:type="dxa"/>
            <w:tcBorders>
              <w:top w:val="single" w:sz="4" w:space="0" w:color="auto"/>
              <w:left w:val="single" w:sz="4" w:space="0" w:color="auto"/>
              <w:bottom w:val="single" w:sz="4" w:space="0" w:color="auto"/>
              <w:right w:val="single" w:sz="4" w:space="0" w:color="auto"/>
            </w:tcBorders>
            <w:shd w:val="clear" w:color="auto" w:fill="FFFFFF" w:themeFill="background1"/>
          </w:tcPr>
          <w:p w14:paraId="783279DD" w14:textId="77602D58" w:rsidR="002E3F32" w:rsidRDefault="002E3F32" w:rsidP="002E3F32">
            <w:pPr>
              <w:jc w:val="both"/>
              <w:rPr>
                <w:b/>
              </w:rPr>
            </w:pPr>
            <w:r w:rsidRPr="00ED7620">
              <w:rPr>
                <w:rFonts w:cs="Calibri"/>
                <w:b/>
                <w:bCs/>
              </w:rPr>
              <w:t>4.</w:t>
            </w:r>
            <w:r>
              <w:rPr>
                <w:rFonts w:cs="Calibri"/>
              </w:rPr>
              <w:t xml:space="preserve"> </w:t>
            </w:r>
            <w:r w:rsidRPr="00BE0BD7">
              <w:rPr>
                <w:rFonts w:cs="Calibri"/>
              </w:rPr>
              <w:t>Justiits- ja Digiministeerium juhib tähelepanu sellele, et VMS-</w:t>
            </w:r>
            <w:proofErr w:type="spellStart"/>
            <w:r w:rsidRPr="00BE0BD7">
              <w:rPr>
                <w:rFonts w:cs="Calibri"/>
              </w:rPr>
              <w:t>is</w:t>
            </w:r>
            <w:proofErr w:type="spellEnd"/>
            <w:r w:rsidRPr="00BE0BD7">
              <w:rPr>
                <w:rFonts w:cs="Calibri"/>
              </w:rPr>
              <w:t xml:space="preserve"> tervikuna on juriidilise isiku karistusmäärad jäänud ajale jalgu. Füüsilise isiku puhul on karistusmäärad läbivalt sätestatud maksimaalse suurusega ehk kuni 300 trahviühikut, kuid juriidilise isiku karistused jäävad suurusesse kuni 3200 eurot või kuni 32 000 eurot. Seega füüsiline isik võib VMS alusel saada karistuseks kuni 2400 eurot (8x300 trahviühikut</w:t>
            </w:r>
            <w:r w:rsidRPr="00BE0BD7">
              <w:rPr>
                <w:rFonts w:cs="Calibri"/>
                <w:vertAlign w:val="superscript"/>
              </w:rPr>
              <w:footnoteReference w:id="8"/>
            </w:r>
            <w:r w:rsidRPr="00BE0BD7">
              <w:rPr>
                <w:rFonts w:cs="Calibri"/>
              </w:rPr>
              <w:t xml:space="preserve">) samas, kui juriidilise isiku maksimaalne karistus on sellest vaid 800 eurot kõrgem. Juriidilise isiku karistusmäär ei </w:t>
            </w:r>
            <w:r w:rsidRPr="00BE0BD7">
              <w:rPr>
                <w:rFonts w:cs="Calibri"/>
              </w:rPr>
              <w:lastRenderedPageBreak/>
              <w:t>ole proportsionaalne ning vajab muutmist. Palume hinnata VMS-s sätestatud juriidilise isiku karistusmäärade proportsionaalsust ning kavandada VMS vastavate sätete muutmist. Palume anda Justiits- ja Digiministeeriumile teada, millal võiks vastavaid muudatusi oodata.</w:t>
            </w:r>
          </w:p>
        </w:tc>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tcPr>
          <w:p w14:paraId="2508D398" w14:textId="06C23530" w:rsidR="002E3F32" w:rsidRDefault="007D3DE4" w:rsidP="002E3F32">
            <w:pPr>
              <w:jc w:val="both"/>
              <w:rPr>
                <w:u w:val="single"/>
              </w:rPr>
            </w:pPr>
            <w:r>
              <w:rPr>
                <w:u w:val="single"/>
              </w:rPr>
              <w:lastRenderedPageBreak/>
              <w:t>Arvestatud</w:t>
            </w:r>
          </w:p>
          <w:p w14:paraId="437A052D" w14:textId="39D2C3AB" w:rsidR="002E3F32" w:rsidRDefault="002E3F32" w:rsidP="006A4C41">
            <w:pPr>
              <w:jc w:val="both"/>
            </w:pPr>
            <w:r w:rsidRPr="009B1D1E">
              <w:t>Eelnõu</w:t>
            </w:r>
            <w:r w:rsidR="007D3DE4">
              <w:t xml:space="preserve"> ja seletuskirja täiendatud VMS-</w:t>
            </w:r>
            <w:proofErr w:type="spellStart"/>
            <w:r w:rsidR="007D3DE4">
              <w:t>is</w:t>
            </w:r>
            <w:proofErr w:type="spellEnd"/>
            <w:r w:rsidR="007D3DE4">
              <w:t xml:space="preserve"> sätestatud juriidilise isiku karistusmäära</w:t>
            </w:r>
            <w:r w:rsidR="005F1D8B">
              <w:t>de</w:t>
            </w:r>
            <w:r w:rsidR="007D3DE4">
              <w:t xml:space="preserve"> muudatustega. </w:t>
            </w:r>
            <w:r w:rsidRPr="009B1D1E">
              <w:t xml:space="preserve"> </w:t>
            </w:r>
          </w:p>
        </w:tc>
      </w:tr>
      <w:tr w:rsidR="002E3F32" w:rsidRPr="002D2B15" w14:paraId="48F4D345" w14:textId="77777777" w:rsidTr="002E3F32">
        <w:trPr>
          <w:trHeight w:val="566"/>
        </w:trPr>
        <w:tc>
          <w:tcPr>
            <w:tcW w:w="5240" w:type="dxa"/>
            <w:tcBorders>
              <w:top w:val="single" w:sz="4" w:space="0" w:color="auto"/>
              <w:left w:val="single" w:sz="4" w:space="0" w:color="auto"/>
              <w:bottom w:val="single" w:sz="4" w:space="0" w:color="auto"/>
              <w:right w:val="single" w:sz="4" w:space="0" w:color="auto"/>
            </w:tcBorders>
            <w:shd w:val="clear" w:color="auto" w:fill="FFFFFF" w:themeFill="background1"/>
          </w:tcPr>
          <w:p w14:paraId="25CB21E7" w14:textId="41BB85BD" w:rsidR="002E3F32" w:rsidRDefault="002E3F32" w:rsidP="002E3F32">
            <w:pPr>
              <w:jc w:val="both"/>
              <w:rPr>
                <w:b/>
              </w:rPr>
            </w:pPr>
            <w:r>
              <w:rPr>
                <w:rFonts w:cs="Calibri"/>
                <w:b/>
                <w:bCs/>
              </w:rPr>
              <w:t xml:space="preserve">5. </w:t>
            </w:r>
            <w:r w:rsidRPr="00BE0BD7">
              <w:rPr>
                <w:rFonts w:cs="Calibri"/>
                <w:b/>
                <w:bCs/>
              </w:rPr>
              <w:t xml:space="preserve">Eelnõu § 1 punkti 1 </w:t>
            </w:r>
            <w:r w:rsidRPr="00BE0BD7">
              <w:rPr>
                <w:rFonts w:cs="Calibri"/>
              </w:rPr>
              <w:t>kohaselt muudetakse VMS-i § 40</w:t>
            </w:r>
            <w:r w:rsidRPr="00BE0BD7">
              <w:rPr>
                <w:rFonts w:cs="Calibri"/>
                <w:vertAlign w:val="superscript"/>
              </w:rPr>
              <w:t>2</w:t>
            </w:r>
            <w:r w:rsidRPr="00BE0BD7">
              <w:rPr>
                <w:rFonts w:cs="Calibri"/>
              </w:rPr>
              <w:t xml:space="preserve"> lõiget 2, milles on loetletud menetlused, mille puhul võib haldusorgan arvestada </w:t>
            </w:r>
            <w:proofErr w:type="spellStart"/>
            <w:r w:rsidRPr="00BE0BD7">
              <w:rPr>
                <w:rFonts w:cs="Calibri"/>
              </w:rPr>
              <w:t>kutsujale</w:t>
            </w:r>
            <w:proofErr w:type="spellEnd"/>
            <w:r w:rsidRPr="00BE0BD7">
              <w:rPr>
                <w:rFonts w:cs="Calibri"/>
              </w:rPr>
              <w:t xml:space="preserve"> antud usaldusväärsuse hinnanguga. VMS § 40</w:t>
            </w:r>
            <w:r w:rsidRPr="00BE0BD7">
              <w:rPr>
                <w:rFonts w:cs="Calibri"/>
                <w:vertAlign w:val="superscript"/>
              </w:rPr>
              <w:t>2</w:t>
            </w:r>
            <w:r w:rsidRPr="00BE0BD7">
              <w:rPr>
                <w:rFonts w:cs="Calibri"/>
              </w:rPr>
              <w:t xml:space="preserve"> lõike 3 kohaselt võetakse hinnangu andmisel arvesse VMS alusel pandud kohustuste rikkumisi ja muid põhjusi, mille alusel on põhjendatult alust kahelda kutsuja usaldusväärsuses. Palume seletuskirjas täpsustada, millistele andmetele </w:t>
            </w:r>
            <w:r w:rsidRPr="00A112D3">
              <w:rPr>
                <w:rFonts w:cs="Calibri"/>
              </w:rPr>
              <w:t>hinnangu andmisel tuginetakse ja milliste normide alusel võib vastavaid andmeid töödelda. Näiteks, kui taotluse menetlemisel hinnatakse kutsujaks oleva ettevõtja usaldusväärsust ja sealhulgas on vaja kontrollida juhatuse liikme andmeid, siis kust neid kontrollitakse, milliste andmete alusel, millisel õiguslikul alusel. Samuti palume selgitada kuidas eristub usaldusväärsuse hindamine taustakontrollist, mille puhul on seadusandja</w:t>
            </w:r>
            <w:r w:rsidRPr="00A112D3">
              <w:rPr>
                <w:rFonts w:cs="Calibri"/>
                <w:vertAlign w:val="superscript"/>
              </w:rPr>
              <w:footnoteReference w:id="9"/>
            </w:r>
            <w:r w:rsidRPr="00A112D3">
              <w:rPr>
                <w:rFonts w:cs="Calibri"/>
              </w:rPr>
              <w:t xml:space="preserve"> leidnud, et tegemist on olulise eraelu puutumatuse riivega, mille ulatust tuleks sätestada seaduses.</w:t>
            </w:r>
          </w:p>
        </w:tc>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tcPr>
          <w:p w14:paraId="5E5145F0" w14:textId="77777777" w:rsidR="002E3F32" w:rsidRDefault="002E3F32" w:rsidP="002E3F32">
            <w:pPr>
              <w:jc w:val="both"/>
              <w:rPr>
                <w:u w:val="single"/>
              </w:rPr>
            </w:pPr>
            <w:r>
              <w:rPr>
                <w:u w:val="single"/>
              </w:rPr>
              <w:t>Arvestatud</w:t>
            </w:r>
          </w:p>
          <w:p w14:paraId="7CE06E4F" w14:textId="45AA436F" w:rsidR="002E3F32" w:rsidRDefault="002E3F32" w:rsidP="002E3F32">
            <w:r>
              <w:t>Seletuskirja täiendatud</w:t>
            </w:r>
            <w:r w:rsidR="006A4C41">
              <w:t xml:space="preserve"> selgitustega kutsuja usaldusväärsuse hinnangu kohta</w:t>
            </w:r>
            <w:r>
              <w:t>.</w:t>
            </w:r>
          </w:p>
        </w:tc>
      </w:tr>
      <w:tr w:rsidR="002E3F32" w:rsidRPr="002D2B15" w14:paraId="51C5557F" w14:textId="77777777" w:rsidTr="002E3F32">
        <w:trPr>
          <w:trHeight w:val="566"/>
        </w:trPr>
        <w:tc>
          <w:tcPr>
            <w:tcW w:w="5240" w:type="dxa"/>
            <w:tcBorders>
              <w:top w:val="single" w:sz="4" w:space="0" w:color="auto"/>
              <w:left w:val="single" w:sz="4" w:space="0" w:color="auto"/>
              <w:bottom w:val="single" w:sz="4" w:space="0" w:color="auto"/>
              <w:right w:val="single" w:sz="4" w:space="0" w:color="auto"/>
            </w:tcBorders>
            <w:shd w:val="clear" w:color="auto" w:fill="FFFFFF" w:themeFill="background1"/>
          </w:tcPr>
          <w:p w14:paraId="7359E098" w14:textId="454D842B" w:rsidR="002E3F32" w:rsidRDefault="002E3F32" w:rsidP="002E3F32">
            <w:pPr>
              <w:jc w:val="both"/>
              <w:rPr>
                <w:b/>
              </w:rPr>
            </w:pPr>
            <w:r w:rsidRPr="0035657D">
              <w:rPr>
                <w:rFonts w:cs="Calibri"/>
                <w:b/>
                <w:bCs/>
              </w:rPr>
              <w:t>6.</w:t>
            </w:r>
            <w:r>
              <w:rPr>
                <w:rFonts w:cs="Calibri"/>
              </w:rPr>
              <w:t xml:space="preserve"> </w:t>
            </w:r>
            <w:r w:rsidRPr="00BE0BD7">
              <w:rPr>
                <w:rFonts w:cs="Calibri"/>
              </w:rPr>
              <w:t>Palume arvestada kooskõlastuskirja lisas esitatud eelnõu seletuskirja failis jäljega tehtud normitehniliste märkustega ning märkustega eelnõu mõju hindamise kohta.</w:t>
            </w:r>
          </w:p>
        </w:tc>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tcPr>
          <w:p w14:paraId="49D44C7F" w14:textId="77777777" w:rsidR="002E3F32" w:rsidRDefault="002E3F32" w:rsidP="002E3F32">
            <w:pPr>
              <w:jc w:val="both"/>
              <w:rPr>
                <w:u w:val="single"/>
              </w:rPr>
            </w:pPr>
            <w:r w:rsidRPr="0035657D">
              <w:rPr>
                <w:u w:val="single"/>
              </w:rPr>
              <w:t>Arvestatud</w:t>
            </w:r>
          </w:p>
          <w:p w14:paraId="5A0A21F3" w14:textId="70878D09" w:rsidR="002E3F32" w:rsidRDefault="002E3F32" w:rsidP="002E3F32">
            <w:r w:rsidRPr="000D674A">
              <w:t xml:space="preserve">Seletuskirja ja eelnõu täiendatud vastavalt märkustele. </w:t>
            </w:r>
          </w:p>
        </w:tc>
      </w:tr>
      <w:tr w:rsidR="002E3F32" w:rsidRPr="002D2B15" w14:paraId="1EB62857" w14:textId="77777777" w:rsidTr="002E3F32">
        <w:trPr>
          <w:trHeight w:val="566"/>
        </w:trPr>
        <w:tc>
          <w:tcPr>
            <w:tcW w:w="524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A6DCA65" w14:textId="6DE1CDBC" w:rsidR="002E3F32" w:rsidRDefault="002E3F32" w:rsidP="002E3F32">
            <w:pPr>
              <w:jc w:val="both"/>
              <w:rPr>
                <w:b/>
              </w:rPr>
            </w:pPr>
            <w:r w:rsidRPr="00385D48">
              <w:rPr>
                <w:rFonts w:cs="Calibri"/>
                <w:b/>
                <w:bCs/>
              </w:rPr>
              <w:t>Tööinspektsioon</w:t>
            </w:r>
          </w:p>
        </w:tc>
        <w:tc>
          <w:tcPr>
            <w:tcW w:w="439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A9E9159" w14:textId="77777777" w:rsidR="002E3F32" w:rsidRPr="00385D48" w:rsidRDefault="002E3F32" w:rsidP="002E3F32">
            <w:pPr>
              <w:jc w:val="both"/>
            </w:pPr>
            <w:r w:rsidRPr="00385D48">
              <w:t>Kairit Kuusemaa</w:t>
            </w:r>
          </w:p>
          <w:p w14:paraId="003AB41D" w14:textId="77777777" w:rsidR="002E3F32" w:rsidRPr="00385D48" w:rsidRDefault="002E3F32" w:rsidP="002E3F32">
            <w:pPr>
              <w:jc w:val="both"/>
              <w:rPr>
                <w:u w:val="single"/>
              </w:rPr>
            </w:pPr>
            <w:hyperlink r:id="rId13" w:history="1">
              <w:r w:rsidRPr="00385D48">
                <w:rPr>
                  <w:rStyle w:val="Hperlink"/>
                </w:rPr>
                <w:t>Kairit.Kuusemaa@ti.ee</w:t>
              </w:r>
            </w:hyperlink>
          </w:p>
          <w:p w14:paraId="671C7986" w14:textId="77777777" w:rsidR="002E3F32" w:rsidRPr="00385D48" w:rsidRDefault="002E3F32" w:rsidP="002E3F32">
            <w:pPr>
              <w:jc w:val="both"/>
            </w:pPr>
            <w:r w:rsidRPr="00385D48">
              <w:t>55963175</w:t>
            </w:r>
          </w:p>
          <w:p w14:paraId="4A6F0457" w14:textId="77777777" w:rsidR="002E3F32" w:rsidRPr="00385D48" w:rsidRDefault="002E3F32" w:rsidP="002E3F32">
            <w:pPr>
              <w:jc w:val="both"/>
            </w:pPr>
          </w:p>
          <w:p w14:paraId="20064CBB" w14:textId="77777777" w:rsidR="002E3F32" w:rsidRPr="00385D48" w:rsidRDefault="002E3F32" w:rsidP="002E3F32">
            <w:pPr>
              <w:jc w:val="both"/>
            </w:pPr>
            <w:r w:rsidRPr="00385D48">
              <w:t xml:space="preserve">Jaana Vaus </w:t>
            </w:r>
            <w:proofErr w:type="spellStart"/>
            <w:r w:rsidRPr="00385D48">
              <w:t>Madureira</w:t>
            </w:r>
            <w:proofErr w:type="spellEnd"/>
            <w:r w:rsidRPr="00385D48">
              <w:t xml:space="preserve"> Silva</w:t>
            </w:r>
          </w:p>
          <w:p w14:paraId="2CBA7495" w14:textId="77777777" w:rsidR="002E3F32" w:rsidRPr="00385D48" w:rsidRDefault="002E3F32" w:rsidP="002E3F32">
            <w:pPr>
              <w:jc w:val="both"/>
              <w:rPr>
                <w:u w:val="single"/>
              </w:rPr>
            </w:pPr>
            <w:hyperlink r:id="rId14" w:history="1">
              <w:r w:rsidRPr="00385D48">
                <w:rPr>
                  <w:rStyle w:val="Hperlink"/>
                </w:rPr>
                <w:t>Jaana.Vaus@ti.ee</w:t>
              </w:r>
            </w:hyperlink>
          </w:p>
          <w:p w14:paraId="00FA55B1" w14:textId="08173905" w:rsidR="002E3F32" w:rsidRDefault="002E3F32" w:rsidP="002E3F32">
            <w:r w:rsidRPr="00385D48">
              <w:t>53440322</w:t>
            </w:r>
          </w:p>
        </w:tc>
      </w:tr>
      <w:tr w:rsidR="002E3F32" w:rsidRPr="002D2B15" w14:paraId="69DC344D" w14:textId="77777777" w:rsidTr="002E3F32">
        <w:trPr>
          <w:trHeight w:val="566"/>
        </w:trPr>
        <w:tc>
          <w:tcPr>
            <w:tcW w:w="5240" w:type="dxa"/>
            <w:tcBorders>
              <w:top w:val="single" w:sz="4" w:space="0" w:color="auto"/>
              <w:left w:val="single" w:sz="4" w:space="0" w:color="auto"/>
              <w:bottom w:val="single" w:sz="4" w:space="0" w:color="auto"/>
              <w:right w:val="single" w:sz="4" w:space="0" w:color="auto"/>
            </w:tcBorders>
            <w:shd w:val="clear" w:color="auto" w:fill="FFFFFF" w:themeFill="background1"/>
          </w:tcPr>
          <w:p w14:paraId="1B8488FC" w14:textId="7DF333D4" w:rsidR="002E3F32" w:rsidRDefault="002E3F32" w:rsidP="002E3F32">
            <w:pPr>
              <w:jc w:val="both"/>
              <w:rPr>
                <w:b/>
              </w:rPr>
            </w:pPr>
            <w:r w:rsidRPr="007749F4">
              <w:rPr>
                <w:rFonts w:cs="Calibri"/>
                <w:b/>
                <w:bCs/>
              </w:rPr>
              <w:t>1.</w:t>
            </w:r>
            <w:r>
              <w:rPr>
                <w:rFonts w:cs="Calibri"/>
              </w:rPr>
              <w:t xml:space="preserve"> </w:t>
            </w:r>
            <w:r w:rsidRPr="009B75B6">
              <w:rPr>
                <w:rFonts w:cs="Calibri"/>
              </w:rPr>
              <w:t xml:space="preserve">Eelnõuga kehtestatakse piirang, mille kohaselt tööandja ei või riigilõivu tasu </w:t>
            </w:r>
            <w:proofErr w:type="spellStart"/>
            <w:r w:rsidRPr="009B75B6">
              <w:rPr>
                <w:rFonts w:cs="Calibri"/>
              </w:rPr>
              <w:t>välistöötajalt</w:t>
            </w:r>
            <w:proofErr w:type="spellEnd"/>
            <w:r w:rsidRPr="009B75B6">
              <w:rPr>
                <w:rFonts w:cs="Calibri"/>
              </w:rPr>
              <w:t xml:space="preserve"> tagasi nõuda, kui ta on selle ise tasunud (VMS-i § 41 täiendatakse lõikega 3) ning sätestatakse sanktsioonid olukorras, kus tööandja seda piirangut on rikkunud – kohustatakse tööandjat hüvitada välismaalasele riigilõiv (s.o VMS-i § 286 täiendatakse lõikega 7) ning keelu rikkumise eest nähakse ette rahatrahv kuni 300 trahviühikut (s.o VMS</w:t>
            </w:r>
            <w:r>
              <w:rPr>
                <w:rFonts w:cs="Calibri"/>
              </w:rPr>
              <w:t>-</w:t>
            </w:r>
            <w:r w:rsidRPr="009B75B6">
              <w:rPr>
                <w:rFonts w:cs="Calibri"/>
              </w:rPr>
              <w:t>i täiendatakse §-ga 301</w:t>
            </w:r>
            <w:r w:rsidRPr="00571975">
              <w:rPr>
                <w:rFonts w:cs="Calibri"/>
                <w:vertAlign w:val="superscript"/>
              </w:rPr>
              <w:t xml:space="preserve">1 </w:t>
            </w:r>
            <w:r w:rsidRPr="009B75B6">
              <w:rPr>
                <w:rFonts w:cs="Calibri"/>
              </w:rPr>
              <w:t xml:space="preserve">). Praktikas on paraku üsna tavapärane, et tööandjad nõuavad välismaalt </w:t>
            </w:r>
            <w:r w:rsidRPr="009B75B6">
              <w:rPr>
                <w:rFonts w:cs="Calibri"/>
              </w:rPr>
              <w:lastRenderedPageBreak/>
              <w:t>Eestisse tööle tulnud töötajatelt erinevate kulude hüvitamist, sh riigilõivu tasumist. Kuigi nimetatud muudatused on tervitatavad ja Tööinspektsioon toetab nende lisamist VMS-i, siis antud punktide osas jääb siiski küsimus, kuidas seda kohustuse täitmist (kohustust tagastada välismaalasele riigilõiv) tagatakse, sest trahvi määramine ei pruugi seda tagada – trahv makstakse ära, aga välismaalane suure tõenäosusega riigilõivu summat ei saa ilmselt enne tagasi, kui ta pöördub vastava nõudega Töövaidluskomisjoni või kohtusse (mis arvestades riigilõivu suurust, ilmselt ei ole üksinda väärt, et seda bürokraatliku teekonda ette võtta). Hirmust tööandja (ja eelkõige töökaotuse) ees ei pruugi paljud töötajad seda sammu ettegi võtta ja politsei, kes on pädev trahvi määrama, ei pruugi rikkumisest teada saada</w:t>
            </w:r>
            <w:r>
              <w:rPr>
                <w:rFonts w:cs="Calibri"/>
              </w:rPr>
              <w:t>.</w:t>
            </w:r>
          </w:p>
        </w:tc>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tcPr>
          <w:p w14:paraId="76184300" w14:textId="77777777" w:rsidR="002E3F32" w:rsidRDefault="002E3F32" w:rsidP="002E3F32">
            <w:pPr>
              <w:jc w:val="both"/>
              <w:rPr>
                <w:u w:val="single"/>
              </w:rPr>
            </w:pPr>
            <w:r>
              <w:rPr>
                <w:u w:val="single"/>
              </w:rPr>
              <w:lastRenderedPageBreak/>
              <w:t>Selgitus</w:t>
            </w:r>
          </w:p>
          <w:p w14:paraId="4687FC05" w14:textId="1BCF41ED" w:rsidR="002E3F32" w:rsidRDefault="002E3F32" w:rsidP="00FC28C7">
            <w:pPr>
              <w:jc w:val="both"/>
            </w:pPr>
            <w:r w:rsidRPr="00822A99">
              <w:t>Tööandja kohustus</w:t>
            </w:r>
            <w:r>
              <w:t xml:space="preserve">ed on sätestatud VMS-s. Nende kohustuste täitmine pärast välismaalasele elamisloa andmist toimub järelkontrolli käigus. Riigilõivu välismaalaselt sissenõudmise keeldu kontrollitakse samamoodi ja niisamuti määratakse ka karistus kohustuse mittetäitmise eest. Välismaalasel on oma õiguste kaitseks võimalik pöörduda </w:t>
            </w:r>
            <w:proofErr w:type="spellStart"/>
            <w:r>
              <w:t>PPA-sse</w:t>
            </w:r>
            <w:proofErr w:type="spellEnd"/>
            <w:r>
              <w:t xml:space="preserve">, Töövaidluskomisjoni või kohtusse ja </w:t>
            </w:r>
            <w:r>
              <w:lastRenderedPageBreak/>
              <w:t>kui isik otsustab sellest loobuda, siis see on tema enda valik.</w:t>
            </w:r>
          </w:p>
        </w:tc>
      </w:tr>
      <w:tr w:rsidR="002E3F32" w:rsidRPr="002D2B15" w14:paraId="4A47AC78" w14:textId="77777777" w:rsidTr="002E3F32">
        <w:trPr>
          <w:trHeight w:val="566"/>
        </w:trPr>
        <w:tc>
          <w:tcPr>
            <w:tcW w:w="5240" w:type="dxa"/>
            <w:tcBorders>
              <w:top w:val="single" w:sz="4" w:space="0" w:color="auto"/>
              <w:left w:val="single" w:sz="4" w:space="0" w:color="auto"/>
              <w:bottom w:val="single" w:sz="4" w:space="0" w:color="auto"/>
              <w:right w:val="single" w:sz="4" w:space="0" w:color="auto"/>
            </w:tcBorders>
            <w:shd w:val="clear" w:color="auto" w:fill="FFFFFF" w:themeFill="background1"/>
          </w:tcPr>
          <w:p w14:paraId="7920DC5D" w14:textId="77777777" w:rsidR="002E3F32" w:rsidRDefault="002E3F32" w:rsidP="002E3F32">
            <w:pPr>
              <w:jc w:val="both"/>
              <w:rPr>
                <w:rFonts w:cs="Calibri"/>
              </w:rPr>
            </w:pPr>
            <w:r w:rsidRPr="007749F4">
              <w:rPr>
                <w:rFonts w:cs="Calibri"/>
                <w:b/>
                <w:bCs/>
              </w:rPr>
              <w:lastRenderedPageBreak/>
              <w:t xml:space="preserve">2. </w:t>
            </w:r>
            <w:r w:rsidRPr="007749F4">
              <w:rPr>
                <w:rFonts w:cs="Calibri"/>
                <w:b/>
              </w:rPr>
              <w:t>Eelnõu lk 25:</w:t>
            </w:r>
            <w:r w:rsidRPr="009B75B6">
              <w:rPr>
                <w:rFonts w:cs="Calibri"/>
              </w:rPr>
              <w:t xml:space="preserve"> </w:t>
            </w:r>
            <w:r w:rsidRPr="00D57617">
              <w:rPr>
                <w:rFonts w:cs="Calibri"/>
                <w:i/>
                <w:iCs/>
              </w:rPr>
              <w:t xml:space="preserve">Kehtestatava korra kohaselt peab töökohavahetuse registreerimise taotluse esitama </w:t>
            </w:r>
            <w:proofErr w:type="spellStart"/>
            <w:r w:rsidRPr="00D57617">
              <w:rPr>
                <w:rFonts w:cs="Calibri"/>
                <w:i/>
                <w:iCs/>
              </w:rPr>
              <w:t>PPA-le</w:t>
            </w:r>
            <w:proofErr w:type="spellEnd"/>
            <w:r w:rsidRPr="00D57617">
              <w:rPr>
                <w:rFonts w:cs="Calibri"/>
                <w:i/>
                <w:iCs/>
              </w:rPr>
              <w:t xml:space="preserve"> tööandja, kelle juures välismaalane soovib tööle asuda. Töökohavahetuse registreerimise taotluses tuleb kavandatavate muudatuste kohaselt esitada samad andmed, mis tööandja peab tähtajalise elamisloa määruse § 14 lõike 3 kohaselt esitama tööandja kutses. Töökohavahetuse registreerimise taotluses tuleb muuhulgas esitada andmed töötamise kohta, sealhulgas töötamise alus, brutotöötasu, töötamise algus- ja lõpukuupäev jne. Samuti tuleb vajadusel lisada täiendavad tõendid, kui töötamisele kohaldub eritingimus. Näiteks, kui tööle asutakse iduettevõtte erisuse alusel, tuleb lisada ekspertkomisjonile esitatud taotluse number.</w:t>
            </w:r>
          </w:p>
          <w:p w14:paraId="7CB2CF9F" w14:textId="77777777" w:rsidR="002E3F32" w:rsidRDefault="002E3F32" w:rsidP="002E3F32">
            <w:pPr>
              <w:jc w:val="both"/>
              <w:rPr>
                <w:rFonts w:cs="Calibri"/>
              </w:rPr>
            </w:pPr>
          </w:p>
          <w:p w14:paraId="3FCF6675" w14:textId="72D40011" w:rsidR="002E3F32" w:rsidRDefault="002E3F32" w:rsidP="002E3F32">
            <w:pPr>
              <w:jc w:val="both"/>
              <w:rPr>
                <w:b/>
              </w:rPr>
            </w:pPr>
            <w:r w:rsidRPr="009B75B6">
              <w:rPr>
                <w:rFonts w:cs="Calibri"/>
              </w:rPr>
              <w:t xml:space="preserve">Kommentaar: Praktikas vahetatakse tööandjat, siis kui teine potentsiaalne tööandja on olemas. Taotlus tuleb esitada kaks kuud ette, samas tuleb töötajal TLS-st tulenevalt järgida ka etteteatamistähtaega töölepingu ülesütlemisel, ehk (pärast katseaega) teatada 30 kalendripäeva ette. Juhul, kui töötaja olemasoleva tööandja juures ütleb töölepingu üles nõnda, et töökohavahetuse taotluse rahuldamise korral saaks otse uue tööandja juurde liikuda, riskib ta sellega, et taotluse rahuldamata jätmise korral jääb töötuks. Kui töötaja töötuks jäämisega riskida ei taha, on tal võimalik ülesütlemisavaldus esitada üksnes pärast PPA poolt töökohavahetuse taotluse rahuldamist. Mis tähendab seda, et lisaks kahele kuule, venib tööandja vahetus 30 päeva võrra veel pikemaks (s.t 60+30 päeva). Kuidas aga on reguleeritud olukord kus töötajal tuleks 30 päeva veel eelmise/olemasoleva tööandja juures „ära </w:t>
            </w:r>
            <w:r w:rsidRPr="009B75B6">
              <w:rPr>
                <w:rFonts w:cs="Calibri"/>
              </w:rPr>
              <w:lastRenderedPageBreak/>
              <w:t>töötada“, samas on elamisluba juba seotud uue tööandjaga, kuivõrd töökohavahetuse taotlus on rahuldatud?</w:t>
            </w:r>
          </w:p>
        </w:tc>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tcPr>
          <w:p w14:paraId="4A138F60" w14:textId="77777777" w:rsidR="002E3F32" w:rsidRDefault="002E3F32" w:rsidP="002E3F32">
            <w:pPr>
              <w:jc w:val="both"/>
              <w:rPr>
                <w:u w:val="single"/>
              </w:rPr>
            </w:pPr>
            <w:r>
              <w:rPr>
                <w:u w:val="single"/>
              </w:rPr>
              <w:lastRenderedPageBreak/>
              <w:t>Selgitus</w:t>
            </w:r>
          </w:p>
          <w:p w14:paraId="6B7031CF" w14:textId="77777777" w:rsidR="002E3F32" w:rsidRDefault="002E3F32" w:rsidP="002E3F32">
            <w:pPr>
              <w:jc w:val="both"/>
            </w:pPr>
            <w:r w:rsidRPr="00D57617">
              <w:t>Töökohavahetuse registreerimise taotluse võib välismaalane esitada koheselt uue tööandja</w:t>
            </w:r>
            <w:r>
              <w:t xml:space="preserve"> leidmisel</w:t>
            </w:r>
            <w:r w:rsidRPr="00D57617">
              <w:t xml:space="preserve">. </w:t>
            </w:r>
            <w:r>
              <w:t xml:space="preserve">Eelnõu kohaselt võib välismaalane uuel töökohal tööle asuda pärast seda, kui PPA on taotluse suhtes teinud positiivse otsuse ja töökohavahetuse registreerinud. Töökohavahetuse registreerimise taotluse suhtes teeb PPA kavandatavate muudatuste kohaselt otsuse 30 päeva jooksul. Seega on töökohavahetuseks vajalike registreeringute menetluste kestus maksimaalselt 30 päeva. Seejuures lähtub PPA haldusmenetluse seaduse põhimõttest, et menetlus viiakse läbi võimalikult kiiresti.  Kehtiva õiguse kohaselt vaadatakse tähtajalise elamisloa taotlus läbi kahe kuu jooksul (alates 2026. aasta jaanuarist 3 kuu jooksul), seega lüheneb uue korra kohaselt töökohavahetuse protsess välismaalase ja uue tööandja jaoks oluliselt. </w:t>
            </w:r>
          </w:p>
          <w:p w14:paraId="4A33CD88" w14:textId="77777777" w:rsidR="002E3F32" w:rsidRDefault="002E3F32" w:rsidP="002E3F32">
            <w:pPr>
              <w:jc w:val="both"/>
            </w:pPr>
            <w:r>
              <w:t xml:space="preserve">Kuivõrd töökohavahetus sama elamisloa alusel on lubatud selle elamisloa kehtivusaja jooksul, seatakse nõue, et töökohavahetuse registreerimise taotlus tuleb esitada vähemalt kaks kuud enne tähtajalise elamisloa kehtivusaja lõppu. Seda põhjusel, et kui elamisluba kaotab kehtivuse, ei ole võimalik sama elamisloa alusel enam töökohavahetust registreerida, vaid tuleb taotleda elamisloa pikendamist või uut elamisluba. Elamisloa pikendamise taotlus tuleb esitada kaks kuud enne </w:t>
            </w:r>
            <w:r>
              <w:lastRenderedPageBreak/>
              <w:t>tähtajalise elamisloa kehtivusaja lõppemist (Siseministri 12.01.2017 a määruse nr 7 § 28). Samuti peab uue tähtajalise elamisloa taotlemisel arvestama menetluse kestusega (kehtiva korra kohaselt kuni kaks kuud, alates jaanuarist 2026 kolm kuud). Pikendatud või uue elamisloa alusel on võimalik taas taotleda töökohavahetuse registreerimist.</w:t>
            </w:r>
          </w:p>
          <w:p w14:paraId="4060B3A5" w14:textId="77777777" w:rsidR="002E3F32" w:rsidRDefault="002E3F32" w:rsidP="002E3F32">
            <w:pPr>
              <w:jc w:val="both"/>
            </w:pPr>
            <w:r>
              <w:t>Juhul, kui töötaja ütleb üles töölepingu olemasoleva tööandja juures ning töökohavahetuse registreerimise taotlus saab keelduva otsuse, on välismaalasel võimalik olemasoleva tööandjaga arutada võimalust töösuhte jätkamiseks, jääda ajutiselt tööta ja otsida uut tööandjat (eelnõuga luuakse võimalus olla ajutiselt tööta) või Eestist lahkuda.</w:t>
            </w:r>
          </w:p>
          <w:p w14:paraId="129A7358" w14:textId="5B3F4FB4" w:rsidR="002E3F32" w:rsidRDefault="002E3F32" w:rsidP="00FC28C7">
            <w:pPr>
              <w:jc w:val="both"/>
            </w:pPr>
            <w:r>
              <w:t xml:space="preserve">Selgitame ka, et rakendusakti kavandi kohaselt tuleb töökohavahetuse registreerimise taotlusel märkida töötamise algusaeg. Alates uue tööandja juures tööle asumisest kohaldatakse eelnõu punkti 14 muudatuse kohaselt uuele tööandjale kutsuja kohustusi. Seega on alates sellest kuupäevast välismaalase elamisluba seotud uue tööandjaga ning enne uue tööandja juures tööle asumist varasema tööandjaga. Sarnane põhimõte rakendub ka praegu, kui välismaalane taotleb uut tähtajalist elamisluba uue tööandja juures tööle asumiseks. Kuni uue elamisloa </w:t>
            </w:r>
            <w:r w:rsidR="00FC28C7">
              <w:t>andmiseni</w:t>
            </w:r>
            <w:r>
              <w:t xml:space="preserve"> (mis on seotud uue tööandja juures tööle asumise</w:t>
            </w:r>
            <w:r w:rsidR="00FC28C7">
              <w:t>ga</w:t>
            </w:r>
            <w:r>
              <w:t xml:space="preserve">) jätkab välismaalane </w:t>
            </w:r>
            <w:r w:rsidR="00FC28C7">
              <w:t xml:space="preserve">Eestis elamist ja </w:t>
            </w:r>
            <w:r>
              <w:t>töötamist varasem</w:t>
            </w:r>
            <w:r w:rsidR="00FC28C7">
              <w:t>a</w:t>
            </w:r>
            <w:r>
              <w:t xml:space="preserve"> elamisloa alusel varasema tööandja juures.</w:t>
            </w:r>
          </w:p>
        </w:tc>
      </w:tr>
      <w:tr w:rsidR="002E3F32" w:rsidRPr="002D2B15" w14:paraId="73BF154C" w14:textId="77777777" w:rsidTr="002E3F32">
        <w:trPr>
          <w:trHeight w:val="566"/>
        </w:trPr>
        <w:tc>
          <w:tcPr>
            <w:tcW w:w="5240" w:type="dxa"/>
            <w:tcBorders>
              <w:top w:val="single" w:sz="4" w:space="0" w:color="auto"/>
              <w:left w:val="single" w:sz="4" w:space="0" w:color="auto"/>
              <w:bottom w:val="single" w:sz="4" w:space="0" w:color="auto"/>
              <w:right w:val="single" w:sz="4" w:space="0" w:color="auto"/>
            </w:tcBorders>
            <w:shd w:val="clear" w:color="auto" w:fill="FFFFFF" w:themeFill="background1"/>
          </w:tcPr>
          <w:p w14:paraId="0AA24638" w14:textId="77777777" w:rsidR="002E3F32" w:rsidRDefault="002E3F32" w:rsidP="002E3F32">
            <w:pPr>
              <w:jc w:val="both"/>
              <w:rPr>
                <w:rFonts w:cs="Calibri"/>
              </w:rPr>
            </w:pPr>
            <w:r w:rsidRPr="007749F4">
              <w:rPr>
                <w:rFonts w:cs="Calibri"/>
                <w:b/>
                <w:bCs/>
              </w:rPr>
              <w:lastRenderedPageBreak/>
              <w:t xml:space="preserve">3. </w:t>
            </w:r>
            <w:r w:rsidRPr="007749F4">
              <w:rPr>
                <w:rFonts w:cs="Calibri"/>
                <w:b/>
              </w:rPr>
              <w:t xml:space="preserve">Eelnõu § </w:t>
            </w:r>
            <w:r w:rsidRPr="007749F4">
              <w:rPr>
                <w:rFonts w:cs="Calibri"/>
                <w:b/>
                <w:bCs/>
              </w:rPr>
              <w:t>1 punkt 13</w:t>
            </w:r>
            <w:r>
              <w:rPr>
                <w:rFonts w:cs="Calibri"/>
              </w:rPr>
              <w:t xml:space="preserve"> – VMS </w:t>
            </w:r>
            <w:r w:rsidRPr="009B75B6">
              <w:rPr>
                <w:rFonts w:cs="Calibri"/>
              </w:rPr>
              <w:t>§ 189</w:t>
            </w:r>
            <w:r w:rsidRPr="009B75B6">
              <w:rPr>
                <w:rFonts w:cs="Calibri"/>
                <w:vertAlign w:val="superscript"/>
              </w:rPr>
              <w:t>2</w:t>
            </w:r>
            <w:r w:rsidRPr="009B75B6">
              <w:rPr>
                <w:rFonts w:cs="Calibri"/>
              </w:rPr>
              <w:t xml:space="preserve"> l</w:t>
            </w:r>
            <w:r>
              <w:rPr>
                <w:rFonts w:cs="Calibri"/>
              </w:rPr>
              <w:t>õike</w:t>
            </w:r>
            <w:r w:rsidRPr="009B75B6">
              <w:rPr>
                <w:rFonts w:cs="Calibri"/>
              </w:rPr>
              <w:t xml:space="preserve"> 3</w:t>
            </w:r>
            <w:r>
              <w:rPr>
                <w:rFonts w:cs="Calibri"/>
              </w:rPr>
              <w:t xml:space="preserve"> muutmine</w:t>
            </w:r>
            <w:r w:rsidRPr="009B75B6">
              <w:rPr>
                <w:rFonts w:cs="Calibri"/>
              </w:rPr>
              <w:t>:</w:t>
            </w:r>
          </w:p>
          <w:p w14:paraId="0E6C7736" w14:textId="77777777" w:rsidR="002E3F32" w:rsidRDefault="002E3F32" w:rsidP="002E3F32">
            <w:pPr>
              <w:jc w:val="both"/>
              <w:rPr>
                <w:rFonts w:cs="Calibri"/>
              </w:rPr>
            </w:pPr>
            <w:r w:rsidRPr="009B75B6">
              <w:rPr>
                <w:rFonts w:cs="Calibri"/>
              </w:rPr>
              <w:t>Välismaalane, kellel on tähtajaline elamisluba ettevõtjasiseseks üleviimiseks või kes on lähetatud töötaja Eestisse lähetatud töötajate töötingimuste seaduse tähenduses, võib selle elamisloa kehtivusajal olla tööta kuni kolm kuud, kui tööandja ütleb töölepingu erakorraliselt üles</w:t>
            </w:r>
            <w:r w:rsidRPr="009B75B6">
              <w:rPr>
                <w:rFonts w:eastAsiaTheme="minorHAnsi"/>
              </w:rPr>
              <w:t xml:space="preserve"> </w:t>
            </w:r>
            <w:r w:rsidRPr="009B75B6">
              <w:rPr>
                <w:rFonts w:cs="Calibri"/>
              </w:rPr>
              <w:t xml:space="preserve">majanduslikel põhjustel töölepingu seaduse § 89 lõike 1 või 2 kohas. Seletuskirja lk 27 on kirjas: </w:t>
            </w:r>
            <w:r w:rsidRPr="00C63BD6">
              <w:rPr>
                <w:rFonts w:cs="Calibri"/>
                <w:i/>
                <w:iCs/>
              </w:rPr>
              <w:t xml:space="preserve">Kuigi kehtiva VMS-i kohaselt on välismaalasel lubatud olla tööta kuni kolm kuud, kui tööandja ütles töölepingu erakorraliselt üles majanduslikel põhjustel, siis seda võimalust kohaldati praktikas üksnes neile </w:t>
            </w:r>
            <w:r w:rsidRPr="00C63BD6">
              <w:rPr>
                <w:rFonts w:cs="Calibri"/>
                <w:i/>
                <w:iCs/>
              </w:rPr>
              <w:lastRenderedPageBreak/>
              <w:t xml:space="preserve">välismaalastele, kellel oli tööleping Eesti tööandjaga ning seega ka töösuhte lõpetamiste aluste kontrollimine võimalik. Lähetatud töötajate ja ettevõtjasiseselt </w:t>
            </w:r>
            <w:proofErr w:type="spellStart"/>
            <w:r w:rsidRPr="00C63BD6">
              <w:rPr>
                <w:rFonts w:cs="Calibri"/>
                <w:i/>
                <w:iCs/>
              </w:rPr>
              <w:t>üleviidud</w:t>
            </w:r>
            <w:proofErr w:type="spellEnd"/>
            <w:r w:rsidRPr="00C63BD6">
              <w:rPr>
                <w:rFonts w:cs="Calibri"/>
                <w:i/>
                <w:iCs/>
              </w:rPr>
              <w:t xml:space="preserve"> töötajate puhul asub välismaalase tööandja, kellega välismaalasel on sõlmitud tööleping, välisriigis. Seetõttu oli töösuhte lõpetamise aluste kontrollimine keeruline ning praktikas neile tööta olemise perioodi ei võimaldatud.</w:t>
            </w:r>
          </w:p>
          <w:p w14:paraId="7226142D" w14:textId="77777777" w:rsidR="002E3F32" w:rsidRDefault="002E3F32" w:rsidP="002E3F32">
            <w:pPr>
              <w:jc w:val="both"/>
              <w:rPr>
                <w:rFonts w:cs="Calibri"/>
              </w:rPr>
            </w:pPr>
          </w:p>
          <w:p w14:paraId="3AB04598" w14:textId="39E10014" w:rsidR="002E3F32" w:rsidRDefault="002E3F32" w:rsidP="002E3F32">
            <w:pPr>
              <w:jc w:val="both"/>
              <w:rPr>
                <w:b/>
              </w:rPr>
            </w:pPr>
            <w:r w:rsidRPr="009B75B6">
              <w:rPr>
                <w:rFonts w:cs="Calibri"/>
              </w:rPr>
              <w:t xml:space="preserve">Kommentaar: Seletuskirjas tuuakse välja, et välismaise tööandja puhul on töötajaga töösuhte tegeliku lõpetamise kontrollimine keeruline, sest tööandja on välisriigis. Samas uus säte oma sõnastuses suunab </w:t>
            </w:r>
            <w:proofErr w:type="spellStart"/>
            <w:r w:rsidRPr="009B75B6">
              <w:rPr>
                <w:rFonts w:cs="Calibri"/>
              </w:rPr>
              <w:t>PPA-d</w:t>
            </w:r>
            <w:proofErr w:type="spellEnd"/>
            <w:r w:rsidRPr="009B75B6">
              <w:rPr>
                <w:rFonts w:cs="Calibri"/>
              </w:rPr>
              <w:t xml:space="preserve"> seda kontrolli ka edaspidi läbi viima ehk küsitav on kuidas eelnõuga planeeritavat sätet on mõeldud praktikas rakendada.</w:t>
            </w:r>
          </w:p>
        </w:tc>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tcPr>
          <w:p w14:paraId="07CCD151" w14:textId="77777777" w:rsidR="002E3F32" w:rsidRDefault="002E3F32" w:rsidP="002E3F32">
            <w:pPr>
              <w:jc w:val="both"/>
              <w:rPr>
                <w:u w:val="single"/>
              </w:rPr>
            </w:pPr>
            <w:r>
              <w:rPr>
                <w:u w:val="single"/>
              </w:rPr>
              <w:lastRenderedPageBreak/>
              <w:t>Selgitus</w:t>
            </w:r>
          </w:p>
          <w:p w14:paraId="176AB56F" w14:textId="088D59ED" w:rsidR="002E3F32" w:rsidRDefault="002E3F32" w:rsidP="00FC28C7">
            <w:pPr>
              <w:jc w:val="both"/>
            </w:pPr>
            <w:r w:rsidRPr="001F23B7">
              <w:t xml:space="preserve">Eelnõuga ei piirata kehtivas õiguses sätestatud võimalust ettevõtjasiseselt </w:t>
            </w:r>
            <w:proofErr w:type="spellStart"/>
            <w:r w:rsidRPr="001F23B7">
              <w:t>üleviidud</w:t>
            </w:r>
            <w:proofErr w:type="spellEnd"/>
            <w:r w:rsidRPr="001F23B7">
              <w:t xml:space="preserve"> töötaja</w:t>
            </w:r>
            <w:r>
              <w:t xml:space="preserve">tel ja lähetatud töötajatel olla tööta kuni kolm kuud, kui tööandja ütles töölepingu üles erakorraliselt. Eelnõuga tehakse üksnes muudatused, mis tulenevad direktiivist 2024/1233. Kuigi töösuhte lõpetamiste aluste kontrollimine eelnevalt nimetatud aluste puhul on keeruline ning praktikas seda ei kasutatud, on välismaalasel soovi korral võimalik esitada </w:t>
            </w:r>
            <w:proofErr w:type="spellStart"/>
            <w:r>
              <w:t>PPA-le</w:t>
            </w:r>
            <w:proofErr w:type="spellEnd"/>
            <w:r>
              <w:t xml:space="preserve"> tõendeid (nt välisriigis välja antud dokumendid töösuhte lõpetamise </w:t>
            </w:r>
            <w:r>
              <w:lastRenderedPageBreak/>
              <w:t>kannete kohta) töösuhte lõpetamise aluste kohta ning kasutada VMS-</w:t>
            </w:r>
            <w:proofErr w:type="spellStart"/>
            <w:r>
              <w:t>is</w:t>
            </w:r>
            <w:proofErr w:type="spellEnd"/>
            <w:r>
              <w:t xml:space="preserve"> sätestatud õigust tööta olla. </w:t>
            </w:r>
            <w:r w:rsidR="00FC28C7">
              <w:t>Seletuskirja vastavate selgitustega täiendatud.</w:t>
            </w:r>
          </w:p>
        </w:tc>
      </w:tr>
      <w:tr w:rsidR="002E3F32" w:rsidRPr="002D2B15" w14:paraId="07BF514B" w14:textId="77777777" w:rsidTr="002E3F32">
        <w:trPr>
          <w:trHeight w:val="566"/>
        </w:trPr>
        <w:tc>
          <w:tcPr>
            <w:tcW w:w="5240" w:type="dxa"/>
            <w:tcBorders>
              <w:top w:val="single" w:sz="4" w:space="0" w:color="auto"/>
              <w:left w:val="single" w:sz="4" w:space="0" w:color="auto"/>
              <w:bottom w:val="single" w:sz="4" w:space="0" w:color="auto"/>
              <w:right w:val="single" w:sz="4" w:space="0" w:color="auto"/>
            </w:tcBorders>
            <w:shd w:val="clear" w:color="auto" w:fill="FFFFFF" w:themeFill="background1"/>
          </w:tcPr>
          <w:p w14:paraId="677DED71" w14:textId="77777777" w:rsidR="002E3F32" w:rsidRDefault="002E3F32" w:rsidP="002E3F32">
            <w:pPr>
              <w:jc w:val="both"/>
              <w:rPr>
                <w:rFonts w:cs="Calibri"/>
              </w:rPr>
            </w:pPr>
            <w:r w:rsidRPr="007749F4">
              <w:rPr>
                <w:rFonts w:cs="Calibri"/>
                <w:b/>
                <w:bCs/>
              </w:rPr>
              <w:lastRenderedPageBreak/>
              <w:t>4. Seletuskirja lisa</w:t>
            </w:r>
            <w:r w:rsidRPr="007749F4">
              <w:rPr>
                <w:rFonts w:cs="Calibri"/>
                <w:b/>
              </w:rPr>
              <w:t xml:space="preserve"> 2</w:t>
            </w:r>
            <w:r w:rsidRPr="009B75B6">
              <w:rPr>
                <w:rFonts w:cs="Calibri"/>
              </w:rPr>
              <w:t xml:space="preserve"> vastavustabel lk 15 on kirjas, et Eesti ei võimalda pikema ajavahemiku vältel töötu olla.</w:t>
            </w:r>
          </w:p>
          <w:p w14:paraId="650AFC0A" w14:textId="77777777" w:rsidR="002E3F32" w:rsidRDefault="002E3F32" w:rsidP="002E3F32">
            <w:pPr>
              <w:jc w:val="both"/>
              <w:rPr>
                <w:rFonts w:cs="Calibri"/>
              </w:rPr>
            </w:pPr>
          </w:p>
          <w:p w14:paraId="04A10ABC" w14:textId="7173EC5D" w:rsidR="002E3F32" w:rsidRDefault="002E3F32" w:rsidP="002E3F32">
            <w:pPr>
              <w:jc w:val="both"/>
              <w:rPr>
                <w:b/>
              </w:rPr>
            </w:pPr>
            <w:r w:rsidRPr="009B75B6">
              <w:rPr>
                <w:rFonts w:cs="Calibri"/>
              </w:rPr>
              <w:t xml:space="preserve">Kommentaar: eelnõu kohaselt tahab Eesti võimaldada </w:t>
            </w:r>
            <w:proofErr w:type="spellStart"/>
            <w:r w:rsidRPr="009B75B6">
              <w:rPr>
                <w:rFonts w:cs="Calibri"/>
              </w:rPr>
              <w:t>töötaolekut</w:t>
            </w:r>
            <w:proofErr w:type="spellEnd"/>
            <w:r w:rsidRPr="009B75B6">
              <w:rPr>
                <w:rFonts w:cs="Calibri"/>
              </w:rPr>
              <w:t xml:space="preserve"> 3-6 kuud, kuid vastavustabelis on kirjas, et Eesti ei võimalda olla pikema kui kolmekuulise ajavahemiku jooksul tööta. Samas kui tähtajaline elamisluba on olnud vähemalt kaks aastat, võib isik olla tööta kuni kuus kuud. Kuus kuud on üsna pikk periood olla tööta, mistõttu tekib küsimus, kas oleks mõistlik sätestada </w:t>
            </w:r>
            <w:proofErr w:type="spellStart"/>
            <w:r w:rsidRPr="009B75B6">
              <w:rPr>
                <w:rFonts w:cs="Calibri"/>
              </w:rPr>
              <w:t>PPA-le</w:t>
            </w:r>
            <w:proofErr w:type="spellEnd"/>
            <w:r w:rsidRPr="009B75B6">
              <w:rPr>
                <w:rFonts w:cs="Calibri"/>
              </w:rPr>
              <w:t xml:space="preserve"> õigus kontrollida, kas isikul on enda ülalpidamiseks nii pika perioodi vältel piisavaid rahalisi vahendid?</w:t>
            </w:r>
          </w:p>
        </w:tc>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tcPr>
          <w:p w14:paraId="073F98BC" w14:textId="77777777" w:rsidR="002E3F32" w:rsidRPr="00D4092E" w:rsidRDefault="002E3F32" w:rsidP="002E3F32">
            <w:pPr>
              <w:jc w:val="both"/>
              <w:rPr>
                <w:u w:val="single"/>
              </w:rPr>
            </w:pPr>
            <w:r w:rsidRPr="00D4092E">
              <w:rPr>
                <w:u w:val="single"/>
              </w:rPr>
              <w:t>Arvestatud</w:t>
            </w:r>
          </w:p>
          <w:p w14:paraId="3125872B" w14:textId="2DD31BF8" w:rsidR="002E3F32" w:rsidRDefault="002E3F32" w:rsidP="00FC28C7">
            <w:pPr>
              <w:jc w:val="both"/>
            </w:pPr>
            <w:r w:rsidRPr="00D4092E">
              <w:t>Eelnõu § 1 punktiga kuus täiendatakse loodavat VMS § 189</w:t>
            </w:r>
            <w:r w:rsidRPr="00D4092E">
              <w:rPr>
                <w:vertAlign w:val="superscript"/>
              </w:rPr>
              <w:t>2</w:t>
            </w:r>
            <w:r w:rsidRPr="00D4092E">
              <w:t xml:space="preserve"> lõikega 2</w:t>
            </w:r>
            <w:r>
              <w:t xml:space="preserve">, sätestades nõude, et kui välismaalane töötab kauem, kui kolm kuud, peab tal olema piisav legaalne sissetulek Eestis toimetulekuks.  </w:t>
            </w:r>
            <w:r w:rsidRPr="00D4092E">
              <w:t xml:space="preserve">Nõutav piisava legaalse sissetuleku määr kehtestatakse </w:t>
            </w:r>
            <w:r w:rsidRPr="00CF39DD">
              <w:rPr>
                <w:bCs/>
              </w:rPr>
              <w:t>Siseministri 12.</w:t>
            </w:r>
            <w:r>
              <w:rPr>
                <w:bCs/>
              </w:rPr>
              <w:t xml:space="preserve"> jaanuari </w:t>
            </w:r>
            <w:r w:rsidRPr="00CF39DD">
              <w:rPr>
                <w:bCs/>
              </w:rPr>
              <w:t>2017</w:t>
            </w:r>
            <w:r>
              <w:rPr>
                <w:bCs/>
              </w:rPr>
              <w:t xml:space="preserve">. </w:t>
            </w:r>
            <w:r w:rsidRPr="00CF39DD">
              <w:rPr>
                <w:bCs/>
              </w:rPr>
              <w:t>aasta määruse nr 7 „Tähtajalise elamisloa ja selle pikendamise ning pikaajalise elaniku elamisloa ja selle taastamise taotlemise kord ning legaalse sissetuleku määrad</w:t>
            </w:r>
            <w:r>
              <w:rPr>
                <w:bCs/>
              </w:rPr>
              <w:t>“ §-</w:t>
            </w:r>
            <w:proofErr w:type="spellStart"/>
            <w:r>
              <w:rPr>
                <w:bCs/>
              </w:rPr>
              <w:t>is</w:t>
            </w:r>
            <w:proofErr w:type="spellEnd"/>
            <w:r>
              <w:rPr>
                <w:bCs/>
              </w:rPr>
              <w:t xml:space="preserve"> 53. </w:t>
            </w:r>
          </w:p>
        </w:tc>
      </w:tr>
      <w:tr w:rsidR="002E3F32" w:rsidRPr="002D2B15" w14:paraId="60267DEA" w14:textId="77777777" w:rsidTr="00FC28C7">
        <w:trPr>
          <w:trHeight w:val="566"/>
        </w:trPr>
        <w:tc>
          <w:tcPr>
            <w:tcW w:w="5240" w:type="dxa"/>
            <w:tcBorders>
              <w:top w:val="single" w:sz="4" w:space="0" w:color="auto"/>
              <w:left w:val="single" w:sz="4" w:space="0" w:color="auto"/>
              <w:bottom w:val="single" w:sz="4" w:space="0" w:color="auto"/>
              <w:right w:val="single" w:sz="4" w:space="0" w:color="auto"/>
            </w:tcBorders>
            <w:shd w:val="clear" w:color="auto" w:fill="FFFFFF" w:themeFill="background1"/>
          </w:tcPr>
          <w:p w14:paraId="519E6776" w14:textId="16E4D15D" w:rsidR="002E3F32" w:rsidRDefault="002E3F32" w:rsidP="002E3F32">
            <w:pPr>
              <w:jc w:val="both"/>
              <w:rPr>
                <w:b/>
              </w:rPr>
            </w:pPr>
            <w:r w:rsidRPr="007749F4">
              <w:rPr>
                <w:rFonts w:cs="Calibri"/>
                <w:b/>
                <w:bCs/>
              </w:rPr>
              <w:t>5.</w:t>
            </w:r>
            <w:r>
              <w:rPr>
                <w:rFonts w:cs="Calibri"/>
              </w:rPr>
              <w:t xml:space="preserve"> </w:t>
            </w:r>
            <w:r w:rsidRPr="009B75B6">
              <w:rPr>
                <w:rFonts w:cs="Calibri"/>
              </w:rPr>
              <w:t xml:space="preserve">Juhime tähelepanu ka eelnõus toodud terminoloogiale, nt on kasutatud seletuskirjas mõistet ametikoht (lk 30), kuid ülejäänud tekstis töökoha mõistet. Ametikoht on eelkõige </w:t>
            </w:r>
            <w:proofErr w:type="spellStart"/>
            <w:r w:rsidRPr="009B75B6">
              <w:rPr>
                <w:rFonts w:cs="Calibri"/>
              </w:rPr>
              <w:t>ATS-is</w:t>
            </w:r>
            <w:proofErr w:type="spellEnd"/>
            <w:r w:rsidRPr="009B75B6">
              <w:rPr>
                <w:rFonts w:cs="Calibri"/>
              </w:rPr>
              <w:t xml:space="preserve"> kasutatav mõiste, aga ATS kohaselt ei saa ametnikuks nimetada välismaalast, seega see mõiste ei sobi eelnõu seletuskirja. Lisaks on segadusse ajav töökoha mõiste, kuna eelnõus räägitakse nii tööandja vahetamisest, kui ka sama tööandja juures teiste ülesannete täitma asumisest ning kohati on seetõttu seletuskirja raske lugeda. Ehk teeme ettepaneku seletuskirja selle pilguga üle vaadata ja sõnastust muuta/kohendada (nt nagu on eelnõu § 177 </w:t>
            </w:r>
            <w:proofErr w:type="spellStart"/>
            <w:r w:rsidRPr="009B75B6">
              <w:rPr>
                <w:rFonts w:cs="Calibri"/>
              </w:rPr>
              <w:t>lg-s</w:t>
            </w:r>
            <w:proofErr w:type="spellEnd"/>
            <w:r w:rsidRPr="009B75B6">
              <w:rPr>
                <w:rFonts w:cs="Calibri"/>
              </w:rPr>
              <w:t xml:space="preserve"> 4 1 neid eristatud).</w:t>
            </w:r>
          </w:p>
        </w:tc>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tcPr>
          <w:p w14:paraId="63408F36" w14:textId="77777777" w:rsidR="002E3F32" w:rsidRDefault="002E3F32" w:rsidP="002E3F32">
            <w:pPr>
              <w:jc w:val="both"/>
              <w:rPr>
                <w:u w:val="single"/>
              </w:rPr>
            </w:pPr>
            <w:r>
              <w:rPr>
                <w:u w:val="single"/>
              </w:rPr>
              <w:t>Arvestatud</w:t>
            </w:r>
          </w:p>
          <w:p w14:paraId="3EC2EDD3" w14:textId="77777777" w:rsidR="002E3F32" w:rsidRPr="005E131D" w:rsidRDefault="002E3F32" w:rsidP="002E3F32">
            <w:pPr>
              <w:jc w:val="both"/>
            </w:pPr>
            <w:r>
              <w:t>Seletuskirjas on sõna „ametikoht“ asendatud sõnaga „töökoht“, kuid viidete puhul kehtivatele VMS-i sätetele, kus on kasutusel sõna „ametikoht“, on see termin jäetud muutmata.</w:t>
            </w:r>
          </w:p>
          <w:p w14:paraId="572A7E02" w14:textId="77777777" w:rsidR="002E3F32" w:rsidRDefault="002E3F32" w:rsidP="002E3F32">
            <w:pPr>
              <w:jc w:val="both"/>
              <w:rPr>
                <w:u w:val="single"/>
              </w:rPr>
            </w:pPr>
          </w:p>
          <w:p w14:paraId="14310213" w14:textId="77777777" w:rsidR="002E3F32" w:rsidRPr="00BE0BD7" w:rsidRDefault="002E3F32" w:rsidP="002E3F32">
            <w:pPr>
              <w:jc w:val="both"/>
              <w:rPr>
                <w:u w:val="single"/>
              </w:rPr>
            </w:pPr>
            <w:r w:rsidRPr="00BE0BD7">
              <w:rPr>
                <w:u w:val="single"/>
              </w:rPr>
              <w:t>Selgitus</w:t>
            </w:r>
          </w:p>
          <w:p w14:paraId="44F40311" w14:textId="36B0A487" w:rsidR="002E3F32" w:rsidRDefault="002E3F32" w:rsidP="00FC28C7">
            <w:pPr>
              <w:jc w:val="both"/>
            </w:pPr>
            <w:r w:rsidRPr="00BE0BD7">
              <w:t xml:space="preserve">Teksti loetavuse ja selguse eesmärgil on kasutatud mõistet „töökohavahetus“, kui hõlmatud on nii teise tööandja juurde tööle asumine kui sama tööandja juures teisele töökohale tööle asumine (vt seletuskirja lk 1). Tööandja vahetusele on viidatud, kui on üksnes hõlmatud tööandja vahetamine, kuid mitte sama tööandja juures tööle asumine. Sama tööandja juures tööle asumisele on viidatud, kui on üksnes hõlmatud sama </w:t>
            </w:r>
            <w:r w:rsidRPr="00BE0BD7">
              <w:lastRenderedPageBreak/>
              <w:t>tööandja juures tööle asumine, kuid mitte teise tööandja juures tööle asumine.</w:t>
            </w:r>
          </w:p>
        </w:tc>
      </w:tr>
      <w:tr w:rsidR="002E3F32" w:rsidRPr="002D2B15" w14:paraId="2A788F1D" w14:textId="77777777" w:rsidTr="002E3F32">
        <w:trPr>
          <w:trHeight w:val="566"/>
        </w:trPr>
        <w:tc>
          <w:tcPr>
            <w:tcW w:w="5240" w:type="dxa"/>
            <w:tcBorders>
              <w:top w:val="single" w:sz="4" w:space="0" w:color="auto"/>
              <w:left w:val="single" w:sz="4" w:space="0" w:color="auto"/>
              <w:bottom w:val="single" w:sz="4" w:space="0" w:color="auto"/>
              <w:right w:val="single" w:sz="4" w:space="0" w:color="auto"/>
            </w:tcBorders>
            <w:shd w:val="clear" w:color="auto" w:fill="FFFFFF" w:themeFill="background1"/>
          </w:tcPr>
          <w:p w14:paraId="6E040CA0" w14:textId="77777777" w:rsidR="002E3F32" w:rsidRDefault="002E3F32" w:rsidP="002E3F32">
            <w:pPr>
              <w:jc w:val="both"/>
              <w:rPr>
                <w:rFonts w:cs="Calibri"/>
              </w:rPr>
            </w:pPr>
            <w:r w:rsidRPr="007749F4">
              <w:rPr>
                <w:rFonts w:cs="Calibri"/>
                <w:b/>
                <w:bCs/>
              </w:rPr>
              <w:lastRenderedPageBreak/>
              <w:t>6.</w:t>
            </w:r>
            <w:r>
              <w:rPr>
                <w:rFonts w:cs="Calibri"/>
              </w:rPr>
              <w:t xml:space="preserve"> </w:t>
            </w:r>
            <w:r w:rsidRPr="009B75B6">
              <w:rPr>
                <w:rFonts w:cs="Calibri"/>
              </w:rPr>
              <w:t>Lõpetuseks märgime, et toetame eelnõuga plaanitavaid muudatusi ja nõustume, et need võivad kaasa aidata välismaalaste ekspluateerimise vähendamisele. Kuna eelnõu puudutab vaid elamisloa menetlusega seonduvat, siis juhiksime siiski tähelepanu ühele praktikas esile kerkinud tendentsile, mille osas leiame, et see vajab lähemas tulevikus VMS</w:t>
            </w:r>
            <w:r>
              <w:rPr>
                <w:rFonts w:cs="Calibri"/>
              </w:rPr>
              <w:t>-i</w:t>
            </w:r>
            <w:r w:rsidRPr="009B75B6">
              <w:rPr>
                <w:rFonts w:cs="Calibri"/>
              </w:rPr>
              <w:t xml:space="preserve"> (aga ka teiste seonduvate õigusaktide) regulatsiooni ülevaatamist ja muutmist.</w:t>
            </w:r>
          </w:p>
          <w:p w14:paraId="2C653AFB" w14:textId="77777777" w:rsidR="002E3F32" w:rsidRDefault="002E3F32" w:rsidP="002E3F32">
            <w:pPr>
              <w:jc w:val="both"/>
              <w:rPr>
                <w:rFonts w:cs="Calibri"/>
              </w:rPr>
            </w:pPr>
          </w:p>
          <w:p w14:paraId="4294758B" w14:textId="77777777" w:rsidR="002E3F32" w:rsidRDefault="002E3F32" w:rsidP="002E3F32">
            <w:pPr>
              <w:jc w:val="both"/>
              <w:rPr>
                <w:rFonts w:cs="Calibri"/>
              </w:rPr>
            </w:pPr>
            <w:r w:rsidRPr="009B75B6">
              <w:rPr>
                <w:rFonts w:cs="Calibri"/>
              </w:rPr>
              <w:t xml:space="preserve">Nimelt näeb Tööinspektsioon oma järelevalve raames seda, et ärakasutamisest on saanud mõnede ettevõtjate jaoks „ärimudel“ – see tähendab, et ära kasutatakse nii süsteemi ehk seaduse kitsaskohti kui inimesi. Pahatahtlikud tööandjad kasutavad ära nii meie enda Eesti inimesi, aga ka välismaalt tulnud </w:t>
            </w:r>
            <w:proofErr w:type="spellStart"/>
            <w:r w:rsidRPr="009B75B6">
              <w:rPr>
                <w:rFonts w:cs="Calibri"/>
              </w:rPr>
              <w:t>võõrtööjõu</w:t>
            </w:r>
            <w:proofErr w:type="spellEnd"/>
            <w:r w:rsidRPr="009B75B6">
              <w:rPr>
                <w:rFonts w:cs="Calibri"/>
              </w:rPr>
              <w:t xml:space="preserve"> haavatavust. Viimased ei tunne keelt ega kehtivaid seaduseid, mis loob hea pinnase ärakasutamiseks. Välismaalaste Eestisse tööle kutsumisel täidetakse küll paberil seadusega ettenähtud nõuded ja vahendajad maalivad koduriigis tööotsijatele ilusa pildi Eestist ja siin ootavast tööst – sageli kaasneb sellega ka kopsakas vahendustasu nõudmine ja kõik selleks, et Eestis madalapalgalist tööd teha sageli topelt tundidega. Sageli juhtub, et pärast paari töötamiskuud jätab tööandja töötajale töötasu välja maksmata või hakkab seda osade kaupa maksma, seejuures osaliselt võlgu jäädes (seda kinnitab mh töövaidluste arvu kasv, kus töövaidluskomisjoni pöördunud avaldajaks on välismaalane). Maksmata töötasult jäävad deklareerimata ka tööjõumaksud ning seeläbi „teenib“ tööandja märkimisväärse tulu ja saavutab sellega ebaausa konkurentsieelise. Kui töötaja tuletab tööandjale meelde maksmata töötasu, päädib see sageli n-ö „konfliktina“, kus tööandja saab paari nupuvajutusega töötamise registris töösuhte lõppenuks märkida (kuigi reaalselt töösuhe lõppenud ei ole, sest pooled ei ole saavutanud kokkulepet töösuhte lõpetamiseks TLS § 79 alusel ning ülesütlemisavaldust ei ole kumbki pool teisele esitanud) ja/või maksab tööandja VMS-</w:t>
            </w:r>
            <w:proofErr w:type="spellStart"/>
            <w:r w:rsidRPr="009B75B6">
              <w:rPr>
                <w:rFonts w:cs="Calibri"/>
              </w:rPr>
              <w:t>ga</w:t>
            </w:r>
            <w:proofErr w:type="spellEnd"/>
            <w:r w:rsidRPr="009B75B6">
              <w:rPr>
                <w:rFonts w:cs="Calibri"/>
              </w:rPr>
              <w:t xml:space="preserve"> ettenähtust madalamat töötasu, mis toob kaasa lühiajalise töötamise registreeringu tühistamise ja välismaalase Eestist väljasaatmise (PPA ei saa kontrollida ja/või anda hinnangut töösuhte lõppemise/mittelõppemise faktile, kuna see on juba töövaidluse teema). See omakorda tähendab, et </w:t>
            </w:r>
            <w:r w:rsidRPr="009B75B6">
              <w:rPr>
                <w:rFonts w:cs="Calibri"/>
              </w:rPr>
              <w:lastRenderedPageBreak/>
              <w:t>Eestis lühiajalise töötamise registreeringu alusel tööd teinud välismaalane ei jõua sageli lühikese aja jooksul (PPA saab anda välismaalasele maksimaalselt 30 kalendripäeva vabatahtlikuks lahkumiseks) pöörduda töövaidluskomisjoni ega kohtusse või ei jõua oma avalduse alusel tehtavat lahendit ära oodata (kui täna avaldaja istungile ei ilmu, jätab töövaidluskomisjon avalduse lihtsalt läbi vaatamata) ja töötaja jääb reaalselt ilma võimalusest saada kätte välja teenitud töötasu. Kuigi välismaalane võiks näiteks töövaidluskomisjoni istungil osaleda video teel (vt töövaidluse lahendamise seaduse § 42</w:t>
            </w:r>
            <w:r w:rsidRPr="0030713A">
              <w:rPr>
                <w:rFonts w:cs="Calibri"/>
                <w:vertAlign w:val="superscript"/>
              </w:rPr>
              <w:t>1</w:t>
            </w:r>
            <w:r w:rsidRPr="009B75B6">
              <w:rPr>
                <w:rFonts w:cs="Calibri"/>
              </w:rPr>
              <w:t xml:space="preserve"> ) või esindaja vahendusel, neid võimalusi sageli ei kasutata, sest neist ei olda teadlikud ja/või tundub protsess keeruline ja aeganõudev (töövaidluskomisjonis/kohtus tuleb kasutada tõlki ja vormistada dokumendid eesti keeles) ning see kõik tagab tööandjale taas „kasumi“ maksmata töötasu näol.</w:t>
            </w:r>
          </w:p>
          <w:p w14:paraId="3FB95293" w14:textId="546E1E7A" w:rsidR="002E3F32" w:rsidRDefault="002E3F32" w:rsidP="002E3F32">
            <w:pPr>
              <w:jc w:val="both"/>
              <w:rPr>
                <w:b/>
              </w:rPr>
            </w:pPr>
            <w:r w:rsidRPr="009B75B6">
              <w:rPr>
                <w:rFonts w:cs="Calibri"/>
              </w:rPr>
              <w:t xml:space="preserve">Ehk siis kokkuvõtlikult näeb Tööinspektsioon vajadust vaadata üle ka lühiajalise töötamise registreeringu alusel töötamist (ja sellega seonduvalt ilmselt ka maksukorralduse seaduses sätestatud töötamise registreerimist) puudutavat regulatsiooni, mis ei võimaldaks tööandjatel </w:t>
            </w:r>
            <w:proofErr w:type="spellStart"/>
            <w:r w:rsidRPr="009B75B6">
              <w:rPr>
                <w:rFonts w:cs="Calibri"/>
              </w:rPr>
              <w:t>võõrtöötajaid</w:t>
            </w:r>
            <w:proofErr w:type="spellEnd"/>
            <w:r w:rsidRPr="009B75B6">
              <w:rPr>
                <w:rFonts w:cs="Calibri"/>
              </w:rPr>
              <w:t xml:space="preserve"> eelkirjeldatud viisidel ära kasutada (sageli ei ole rikkumised nii rasked, et tööandjat oleks võimalik vastutusele võtta inimkaubanduse kuriteo toimepanemise eest).</w:t>
            </w:r>
          </w:p>
        </w:tc>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tcPr>
          <w:p w14:paraId="1F940504" w14:textId="77777777" w:rsidR="002E3F32" w:rsidRDefault="002E3F32" w:rsidP="002E3F32">
            <w:pPr>
              <w:jc w:val="both"/>
              <w:rPr>
                <w:u w:val="single"/>
              </w:rPr>
            </w:pPr>
            <w:r>
              <w:rPr>
                <w:u w:val="single"/>
              </w:rPr>
              <w:lastRenderedPageBreak/>
              <w:t>Võtame teadmiseks</w:t>
            </w:r>
          </w:p>
          <w:p w14:paraId="0C912400" w14:textId="77777777" w:rsidR="002E3F32" w:rsidRPr="008979F3" w:rsidRDefault="002E3F32" w:rsidP="002E3F32">
            <w:pPr>
              <w:jc w:val="both"/>
            </w:pPr>
            <w:r w:rsidRPr="008979F3">
              <w:t xml:space="preserve">Võtame teadmiseks, et toetate eelnõuga plaanitavaid muudatusi. </w:t>
            </w:r>
          </w:p>
          <w:p w14:paraId="371EDAA9" w14:textId="77777777" w:rsidR="002E3F32" w:rsidRDefault="002E3F32" w:rsidP="002E3F32">
            <w:pPr>
              <w:jc w:val="both"/>
              <w:rPr>
                <w:u w:val="single"/>
              </w:rPr>
            </w:pPr>
          </w:p>
          <w:p w14:paraId="43A19FB4" w14:textId="35B743E3" w:rsidR="002E3F32" w:rsidRDefault="002E3F32" w:rsidP="00FC28C7">
            <w:pPr>
              <w:jc w:val="both"/>
            </w:pPr>
            <w:r>
              <w:t>E</w:t>
            </w:r>
            <w:r w:rsidRPr="004141BA">
              <w:t xml:space="preserve">elnõuga võetakse Eesti õigusesse üle direktiiv 2024/1233, mistõttu ei lähe eelnõu </w:t>
            </w:r>
            <w:r w:rsidRPr="00BE0BD7">
              <w:t>muudatused direktiivis ette nähtust kaugemale. Võtame teadmiseks vajaduse tulevikus analüüsida VMS</w:t>
            </w:r>
            <w:r>
              <w:t>-i</w:t>
            </w:r>
            <w:r w:rsidRPr="00BE0BD7">
              <w:t xml:space="preserve"> regulatsiooni ülevaatamist ja muutmist vältimaks inimeste ekspluateerimist ja seaduse kitsaskohtade ärakasutamist.</w:t>
            </w:r>
          </w:p>
        </w:tc>
      </w:tr>
      <w:tr w:rsidR="002E3F32" w:rsidRPr="002D2B15" w14:paraId="10875262" w14:textId="77777777" w:rsidTr="00156F62">
        <w:trPr>
          <w:trHeight w:val="566"/>
        </w:trPr>
        <w:tc>
          <w:tcPr>
            <w:tcW w:w="524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DE41951" w14:textId="18324DE6" w:rsidR="002E3F32" w:rsidRPr="006410BE" w:rsidRDefault="002E3F32" w:rsidP="002E3F32">
            <w:pPr>
              <w:jc w:val="both"/>
              <w:rPr>
                <w:bCs/>
              </w:rPr>
            </w:pPr>
            <w:r>
              <w:rPr>
                <w:b/>
              </w:rPr>
              <w:t>Eesti Töötukassa</w:t>
            </w:r>
          </w:p>
        </w:tc>
        <w:tc>
          <w:tcPr>
            <w:tcW w:w="439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EA81BB0" w14:textId="1102F647" w:rsidR="002E3F32" w:rsidRDefault="002E3F32" w:rsidP="002E3F32">
            <w:r>
              <w:t>Reet Raud</w:t>
            </w:r>
          </w:p>
          <w:p w14:paraId="0061133D" w14:textId="0611C349" w:rsidR="002E3F32" w:rsidRDefault="002E3F32" w:rsidP="002E3F32">
            <w:hyperlink r:id="rId15" w:history="1">
              <w:r w:rsidRPr="00F3541E">
                <w:rPr>
                  <w:rStyle w:val="Hperlink"/>
                </w:rPr>
                <w:t>Reet.Raud@tootukassa.ee</w:t>
              </w:r>
            </w:hyperlink>
          </w:p>
          <w:p w14:paraId="557B5696" w14:textId="1CAEF60A" w:rsidR="002E3F32" w:rsidRDefault="002E3F32" w:rsidP="002E3F32">
            <w:r>
              <w:t>614 8247</w:t>
            </w:r>
          </w:p>
          <w:p w14:paraId="47441FC6" w14:textId="77777777" w:rsidR="002E3F32" w:rsidRDefault="002E3F32" w:rsidP="002E3F32"/>
          <w:p w14:paraId="28A60BA8" w14:textId="722894E6" w:rsidR="002E3F32" w:rsidRDefault="002E3F32" w:rsidP="002E3F32">
            <w:r>
              <w:t>Monika Aasa</w:t>
            </w:r>
          </w:p>
          <w:p w14:paraId="0663DEFE" w14:textId="1919C833" w:rsidR="002E3F32" w:rsidRDefault="002E3F32" w:rsidP="002E3F32">
            <w:hyperlink r:id="rId16" w:history="1">
              <w:r w:rsidRPr="00F3541E">
                <w:rPr>
                  <w:rStyle w:val="Hperlink"/>
                </w:rPr>
                <w:t>Monika.Aasa@tootukassa.ee</w:t>
              </w:r>
            </w:hyperlink>
          </w:p>
          <w:p w14:paraId="26636D1C" w14:textId="6338C4C9" w:rsidR="002E3F32" w:rsidRDefault="002E3F32" w:rsidP="002E3F32">
            <w:r>
              <w:t>614 8632</w:t>
            </w:r>
          </w:p>
          <w:p w14:paraId="6AA87A02" w14:textId="77777777" w:rsidR="002E3F32" w:rsidRDefault="002E3F32" w:rsidP="002E3F32"/>
          <w:p w14:paraId="0D6D903C" w14:textId="3ADC16BF" w:rsidR="002E3F32" w:rsidRDefault="002E3F32" w:rsidP="002E3F32">
            <w:r>
              <w:t xml:space="preserve">Irina </w:t>
            </w:r>
            <w:proofErr w:type="spellStart"/>
            <w:r>
              <w:t>Borozdina</w:t>
            </w:r>
            <w:proofErr w:type="spellEnd"/>
          </w:p>
          <w:p w14:paraId="4C0EC699" w14:textId="1E411D7C" w:rsidR="002E3F32" w:rsidRDefault="002E3F32" w:rsidP="002E3F32">
            <w:hyperlink r:id="rId17" w:history="1">
              <w:r w:rsidRPr="00F3541E">
                <w:rPr>
                  <w:rStyle w:val="Hperlink"/>
                </w:rPr>
                <w:t>Irina.Borozdina@tootukassa.ee</w:t>
              </w:r>
            </w:hyperlink>
          </w:p>
          <w:p w14:paraId="32AC2154" w14:textId="3DDA357F" w:rsidR="002E3F32" w:rsidRDefault="002E3F32" w:rsidP="002E3F32">
            <w:r>
              <w:t>614 8644</w:t>
            </w:r>
          </w:p>
        </w:tc>
      </w:tr>
      <w:tr w:rsidR="002E3F32" w:rsidRPr="002D2B15" w14:paraId="76D86320" w14:textId="77777777" w:rsidTr="00AD3DEE">
        <w:trPr>
          <w:trHeight w:val="1408"/>
        </w:trPr>
        <w:tc>
          <w:tcPr>
            <w:tcW w:w="5240" w:type="dxa"/>
            <w:tcBorders>
              <w:top w:val="single" w:sz="4" w:space="0" w:color="auto"/>
              <w:left w:val="single" w:sz="4" w:space="0" w:color="auto"/>
              <w:bottom w:val="single" w:sz="4" w:space="0" w:color="auto"/>
              <w:right w:val="single" w:sz="4" w:space="0" w:color="auto"/>
            </w:tcBorders>
            <w:shd w:val="clear" w:color="auto" w:fill="FFFFFF" w:themeFill="background1"/>
          </w:tcPr>
          <w:p w14:paraId="4B7517A3" w14:textId="3B6E77CD" w:rsidR="002E3F32" w:rsidRPr="00875674" w:rsidRDefault="002E3F32" w:rsidP="002E3F32">
            <w:pPr>
              <w:jc w:val="both"/>
              <w:rPr>
                <w:bCs/>
              </w:rPr>
            </w:pPr>
            <w:r w:rsidRPr="004A3B07">
              <w:rPr>
                <w:b/>
              </w:rPr>
              <w:t>1. Eelnõu § 1 punktis 6</w:t>
            </w:r>
            <w:r w:rsidRPr="00875674">
              <w:rPr>
                <w:bCs/>
              </w:rPr>
              <w:t xml:space="preserve"> jääb ebaselgeks, kas § 184</w:t>
            </w:r>
            <w:r w:rsidRPr="00875674">
              <w:rPr>
                <w:bCs/>
                <w:vertAlign w:val="superscript"/>
              </w:rPr>
              <w:t>1</w:t>
            </w:r>
            <w:r w:rsidRPr="00875674">
              <w:rPr>
                <w:bCs/>
              </w:rPr>
              <w:t xml:space="preserve"> lõike 1 punktid 1 ja 2 kohalduvad samaaegselt või mitte. Selguse huvides võiks § 184</w:t>
            </w:r>
            <w:r w:rsidRPr="00875674">
              <w:rPr>
                <w:bCs/>
                <w:vertAlign w:val="superscript"/>
              </w:rPr>
              <w:t>1</w:t>
            </w:r>
            <w:r w:rsidRPr="00875674">
              <w:rPr>
                <w:bCs/>
              </w:rPr>
              <w:t xml:space="preserve"> lõike 1 punkti 1 lõppu lisada sõna</w:t>
            </w:r>
            <w:r>
              <w:rPr>
                <w:bCs/>
              </w:rPr>
              <w:t xml:space="preserve"> </w:t>
            </w:r>
            <w:r w:rsidRPr="00875674">
              <w:rPr>
                <w:bCs/>
              </w:rPr>
              <w:t>„ning“. Sarnaselt on eelnõus sõnastatud § 184</w:t>
            </w:r>
            <w:r w:rsidRPr="00875674">
              <w:rPr>
                <w:bCs/>
                <w:vertAlign w:val="superscript"/>
              </w:rPr>
              <w:t>2</w:t>
            </w:r>
            <w:r w:rsidRPr="00875674">
              <w:rPr>
                <w:bCs/>
              </w:rPr>
              <w:t xml:space="preserve"> lõige 2.</w:t>
            </w:r>
          </w:p>
          <w:p w14:paraId="6618B203" w14:textId="77777777" w:rsidR="002E3F32" w:rsidRPr="00875674" w:rsidRDefault="002E3F32" w:rsidP="002E3F32">
            <w:pPr>
              <w:jc w:val="both"/>
              <w:rPr>
                <w:bCs/>
              </w:rPr>
            </w:pPr>
            <w:r w:rsidRPr="00875674">
              <w:rPr>
                <w:bCs/>
              </w:rPr>
              <w:t>Teeme ettepaneku sõnastada § 184</w:t>
            </w:r>
            <w:r w:rsidRPr="00875674">
              <w:rPr>
                <w:bCs/>
                <w:vertAlign w:val="superscript"/>
              </w:rPr>
              <w:t>1</w:t>
            </w:r>
            <w:r w:rsidRPr="00875674">
              <w:rPr>
                <w:bCs/>
              </w:rPr>
              <w:t xml:space="preserve"> lõige 1 järgmiselt:</w:t>
            </w:r>
          </w:p>
          <w:p w14:paraId="5C721799" w14:textId="77777777" w:rsidR="002E3F32" w:rsidRPr="00875674" w:rsidRDefault="002E3F32" w:rsidP="002E3F32">
            <w:pPr>
              <w:jc w:val="both"/>
              <w:rPr>
                <w:bCs/>
                <w:i/>
                <w:iCs/>
              </w:rPr>
            </w:pPr>
            <w:r w:rsidRPr="00875674">
              <w:rPr>
                <w:bCs/>
                <w:i/>
                <w:iCs/>
              </w:rPr>
              <w:t>„(1) Välismaalane võib vahetada töötamiseks antud tähtajalise elamisloa kehtivusajal tööandjat, kui:</w:t>
            </w:r>
          </w:p>
          <w:p w14:paraId="200021C0" w14:textId="77777777" w:rsidR="002E3F32" w:rsidRPr="00875674" w:rsidRDefault="002E3F32" w:rsidP="002E3F32">
            <w:pPr>
              <w:jc w:val="both"/>
              <w:rPr>
                <w:bCs/>
                <w:i/>
                <w:iCs/>
              </w:rPr>
            </w:pPr>
            <w:r w:rsidRPr="00875674">
              <w:rPr>
                <w:bCs/>
                <w:i/>
                <w:iCs/>
              </w:rPr>
              <w:lastRenderedPageBreak/>
              <w:t>1) uus tööandja on enne välismaalase tööle asumist esitanud Politsei- ja</w:t>
            </w:r>
          </w:p>
          <w:p w14:paraId="401B7C12" w14:textId="6FA5A4F6" w:rsidR="002E3F32" w:rsidRPr="00875674" w:rsidRDefault="002E3F32" w:rsidP="002E3F32">
            <w:pPr>
              <w:jc w:val="both"/>
              <w:rPr>
                <w:bCs/>
                <w:i/>
                <w:iCs/>
              </w:rPr>
            </w:pPr>
            <w:r w:rsidRPr="00875674">
              <w:rPr>
                <w:bCs/>
                <w:i/>
                <w:iCs/>
              </w:rPr>
              <w:t>Piirivalveametile töökohavahetuse registreerimise taotluse</w:t>
            </w:r>
            <w:r w:rsidRPr="00875674">
              <w:rPr>
                <w:bCs/>
                <w:i/>
                <w:iCs/>
                <w:u w:val="single"/>
              </w:rPr>
              <w:t xml:space="preserve"> ning</w:t>
            </w:r>
          </w:p>
          <w:p w14:paraId="69B499B8" w14:textId="051097EB" w:rsidR="002E3F32" w:rsidRDefault="002E3F32" w:rsidP="002E3F32">
            <w:pPr>
              <w:jc w:val="both"/>
              <w:rPr>
                <w:b/>
              </w:rPr>
            </w:pPr>
            <w:r w:rsidRPr="00875674">
              <w:rPr>
                <w:bCs/>
                <w:i/>
                <w:iCs/>
              </w:rPr>
              <w:t>2) Politsei- ja Piirivalveamet on kontrollinud, et töötamine uue tööandja juures vastab käesoleva seaduse §-des 176–1813, 182, 183 ja 1901–1907 sätestatud elamisloa andmise tingimustele, ning registreerinud töökohavahetuse.“.</w:t>
            </w:r>
          </w:p>
        </w:tc>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tcPr>
          <w:p w14:paraId="1A629A6F" w14:textId="46D58BE1" w:rsidR="002E3F32" w:rsidRPr="00875674" w:rsidRDefault="002E3F32" w:rsidP="002E3F32">
            <w:pPr>
              <w:rPr>
                <w:u w:val="single"/>
              </w:rPr>
            </w:pPr>
            <w:r w:rsidRPr="00875674">
              <w:rPr>
                <w:u w:val="single"/>
              </w:rPr>
              <w:lastRenderedPageBreak/>
              <w:t xml:space="preserve">Arvestatud. </w:t>
            </w:r>
          </w:p>
          <w:p w14:paraId="507A1730" w14:textId="7F52D717" w:rsidR="002E3F32" w:rsidRDefault="002E3F32" w:rsidP="002E3F32">
            <w:pPr>
              <w:jc w:val="both"/>
            </w:pPr>
            <w:r>
              <w:t>VMS-i § 184</w:t>
            </w:r>
            <w:r w:rsidRPr="00875674">
              <w:rPr>
                <w:vertAlign w:val="superscript"/>
              </w:rPr>
              <w:t>1</w:t>
            </w:r>
            <w:r>
              <w:t xml:space="preserve"> lõike 1 punkti 1 sõnastust muudetud vastavalt tehtud ettepanekule.</w:t>
            </w:r>
          </w:p>
        </w:tc>
      </w:tr>
      <w:tr w:rsidR="002E3F32" w:rsidRPr="002D2B15" w14:paraId="0DAC983C" w14:textId="77777777" w:rsidTr="009B75B6">
        <w:trPr>
          <w:trHeight w:val="1624"/>
        </w:trPr>
        <w:tc>
          <w:tcPr>
            <w:tcW w:w="5240" w:type="dxa"/>
            <w:tcBorders>
              <w:top w:val="single" w:sz="4" w:space="0" w:color="auto"/>
              <w:left w:val="single" w:sz="4" w:space="0" w:color="auto"/>
              <w:bottom w:val="single" w:sz="4" w:space="0" w:color="auto"/>
              <w:right w:val="single" w:sz="4" w:space="0" w:color="auto"/>
            </w:tcBorders>
            <w:shd w:val="clear" w:color="auto" w:fill="FFFFFF" w:themeFill="background1"/>
          </w:tcPr>
          <w:p w14:paraId="2B6BBA50" w14:textId="5E929AD3" w:rsidR="002E3F32" w:rsidRPr="00F7739D" w:rsidRDefault="002E3F32" w:rsidP="002E3F32">
            <w:pPr>
              <w:jc w:val="both"/>
              <w:rPr>
                <w:bCs/>
              </w:rPr>
            </w:pPr>
            <w:r w:rsidRPr="004A3B07">
              <w:rPr>
                <w:b/>
              </w:rPr>
              <w:t>2.</w:t>
            </w:r>
            <w:r>
              <w:rPr>
                <w:bCs/>
              </w:rPr>
              <w:t xml:space="preserve"> </w:t>
            </w:r>
            <w:r w:rsidRPr="00F7739D">
              <w:rPr>
                <w:bCs/>
              </w:rPr>
              <w:t xml:space="preserve">Teeme </w:t>
            </w:r>
            <w:r w:rsidRPr="004A3B07">
              <w:rPr>
                <w:b/>
              </w:rPr>
              <w:t xml:space="preserve">ettepaneku </w:t>
            </w:r>
            <w:r w:rsidRPr="00F7739D">
              <w:rPr>
                <w:bCs/>
              </w:rPr>
              <w:t xml:space="preserve">sõnastada </w:t>
            </w:r>
            <w:r w:rsidRPr="004A3B07">
              <w:rPr>
                <w:b/>
              </w:rPr>
              <w:t>TVTS § 12 lõige 2</w:t>
            </w:r>
            <w:r w:rsidRPr="004A3B07">
              <w:rPr>
                <w:b/>
                <w:vertAlign w:val="superscript"/>
              </w:rPr>
              <w:t>1</w:t>
            </w:r>
            <w:r w:rsidRPr="00F7739D">
              <w:rPr>
                <w:bCs/>
                <w:vertAlign w:val="superscript"/>
              </w:rPr>
              <w:t xml:space="preserve"> </w:t>
            </w:r>
            <w:r w:rsidRPr="00F7739D">
              <w:rPr>
                <w:bCs/>
              </w:rPr>
              <w:t>sarnaselt kehtiva TVTS § 12 lõike 1 punktile 1 ning loetleda lepingu liigid ühes lõikes, mitte punktloeteluna:</w:t>
            </w:r>
          </w:p>
          <w:p w14:paraId="5ED76275" w14:textId="77777777" w:rsidR="002E3F32" w:rsidRPr="00F7739D" w:rsidRDefault="002E3F32" w:rsidP="002E3F32">
            <w:pPr>
              <w:jc w:val="both"/>
              <w:rPr>
                <w:bCs/>
              </w:rPr>
            </w:pPr>
            <w:r w:rsidRPr="00F7739D">
              <w:rPr>
                <w:bCs/>
              </w:rPr>
              <w:t> </w:t>
            </w:r>
          </w:p>
          <w:p w14:paraId="07E902B7" w14:textId="77777777" w:rsidR="002E3F32" w:rsidRPr="00F7739D" w:rsidRDefault="002E3F32" w:rsidP="002E3F32">
            <w:pPr>
              <w:jc w:val="both"/>
              <w:rPr>
                <w:bCs/>
                <w:i/>
                <w:iCs/>
              </w:rPr>
            </w:pPr>
            <w:r w:rsidRPr="00F7739D">
              <w:rPr>
                <w:bCs/>
                <w:i/>
                <w:iCs/>
              </w:rPr>
              <w:t>„</w:t>
            </w:r>
            <w:bookmarkStart w:id="4" w:name="_Hlk207183604"/>
            <w:r w:rsidRPr="00F7739D">
              <w:rPr>
                <w:bCs/>
                <w:i/>
                <w:iCs/>
              </w:rPr>
              <w:t>(2</w:t>
            </w:r>
            <w:r w:rsidRPr="00F7739D">
              <w:rPr>
                <w:bCs/>
                <w:i/>
                <w:iCs/>
                <w:vertAlign w:val="superscript"/>
              </w:rPr>
              <w:t>1</w:t>
            </w:r>
            <w:r w:rsidRPr="00F7739D">
              <w:rPr>
                <w:bCs/>
                <w:i/>
                <w:iCs/>
              </w:rPr>
              <w:t xml:space="preserve">) Lühiajaliseks Eestis töötamiseks antud pikaajalise viisa alusel Eestis viibival ja töötaval välismaalasel on õigus töövõimetoetusele, </w:t>
            </w:r>
            <w:r w:rsidRPr="00F7739D">
              <w:rPr>
                <w:bCs/>
                <w:i/>
                <w:iCs/>
                <w:u w:val="single"/>
              </w:rPr>
              <w:t>kui ta töötab töölepingu alusel või töövõtulepingu, käsunduslepingu või teenuse osutamiseks sõlmitud muu võlaõigusliku lepingu alusel</w:t>
            </w:r>
            <w:r w:rsidRPr="00F7739D">
              <w:rPr>
                <w:bCs/>
                <w:i/>
                <w:iCs/>
              </w:rPr>
              <w:t>.</w:t>
            </w:r>
            <w:bookmarkEnd w:id="4"/>
            <w:r w:rsidRPr="00F7739D">
              <w:rPr>
                <w:bCs/>
                <w:i/>
                <w:iCs/>
              </w:rPr>
              <w:t>“.</w:t>
            </w:r>
          </w:p>
          <w:p w14:paraId="1119E2A7" w14:textId="77777777" w:rsidR="002E3F32" w:rsidRPr="00F7739D" w:rsidRDefault="002E3F32" w:rsidP="002E3F32">
            <w:pPr>
              <w:jc w:val="both"/>
              <w:rPr>
                <w:bCs/>
                <w:i/>
                <w:iCs/>
              </w:rPr>
            </w:pPr>
            <w:r w:rsidRPr="00F7739D">
              <w:rPr>
                <w:bCs/>
                <w:i/>
                <w:iCs/>
              </w:rPr>
              <w:t> </w:t>
            </w:r>
          </w:p>
          <w:p w14:paraId="2918CEAD" w14:textId="77777777" w:rsidR="002E3F32" w:rsidRPr="00F7739D" w:rsidRDefault="002E3F32" w:rsidP="002E3F32">
            <w:pPr>
              <w:jc w:val="both"/>
              <w:rPr>
                <w:bCs/>
              </w:rPr>
            </w:pPr>
            <w:r w:rsidRPr="00F7739D">
              <w:rPr>
                <w:bCs/>
              </w:rPr>
              <w:t>Kui punktloetelu jääb, teeme ettepaneku selguse huvides täpsustada TVTS § 12 lõike 2</w:t>
            </w:r>
            <w:r w:rsidRPr="00F7739D">
              <w:rPr>
                <w:bCs/>
                <w:vertAlign w:val="superscript"/>
              </w:rPr>
              <w:t xml:space="preserve">1  </w:t>
            </w:r>
            <w:r w:rsidRPr="00F7739D">
              <w:rPr>
                <w:bCs/>
              </w:rPr>
              <w:t>sissejuhatavas lauseosas, et õigus töövõimetoetusele tekib, kui välismaalane töötab vähemalt ühe järgmise lepingu alusel. Vastasel korral võib jääda ekslik arusaam, et kõik lepingud peavad esinema korraga:</w:t>
            </w:r>
          </w:p>
          <w:p w14:paraId="37BD8A8E" w14:textId="77777777" w:rsidR="002E3F32" w:rsidRPr="00F7739D" w:rsidRDefault="002E3F32" w:rsidP="002E3F32">
            <w:pPr>
              <w:jc w:val="both"/>
              <w:rPr>
                <w:bCs/>
              </w:rPr>
            </w:pPr>
            <w:r w:rsidRPr="00F7739D">
              <w:rPr>
                <w:bCs/>
              </w:rPr>
              <w:t> </w:t>
            </w:r>
          </w:p>
          <w:p w14:paraId="7D793CE7" w14:textId="77777777" w:rsidR="002E3F32" w:rsidRPr="00F7739D" w:rsidRDefault="002E3F32" w:rsidP="002E3F32">
            <w:pPr>
              <w:jc w:val="both"/>
              <w:rPr>
                <w:bCs/>
                <w:i/>
                <w:iCs/>
              </w:rPr>
            </w:pPr>
            <w:bookmarkStart w:id="5" w:name="_Hlk207019624"/>
            <w:r w:rsidRPr="00F7739D">
              <w:rPr>
                <w:bCs/>
                <w:i/>
                <w:iCs/>
              </w:rPr>
              <w:t>„(2</w:t>
            </w:r>
            <w:r w:rsidRPr="00F7739D">
              <w:rPr>
                <w:bCs/>
                <w:i/>
                <w:iCs/>
                <w:vertAlign w:val="superscript"/>
              </w:rPr>
              <w:t>1</w:t>
            </w:r>
            <w:r w:rsidRPr="00F7739D">
              <w:rPr>
                <w:bCs/>
                <w:i/>
                <w:iCs/>
              </w:rPr>
              <w:t xml:space="preserve">) Lühiajaliseks Eestis töötamiseks antud pikaajalise viisa alusel Eestis viibival ja töötaval välismaalasel on õigus töövõimetoetusele, kui ta töötab </w:t>
            </w:r>
            <w:r w:rsidRPr="00F7739D">
              <w:rPr>
                <w:bCs/>
                <w:i/>
                <w:iCs/>
                <w:u w:val="single"/>
              </w:rPr>
              <w:t>vähemalt ühe</w:t>
            </w:r>
            <w:r w:rsidRPr="00F7739D">
              <w:rPr>
                <w:bCs/>
                <w:i/>
                <w:iCs/>
              </w:rPr>
              <w:t xml:space="preserve"> järgmise lepingu alusel: </w:t>
            </w:r>
          </w:p>
          <w:p w14:paraId="2F226986" w14:textId="77777777" w:rsidR="002E3F32" w:rsidRPr="00F7739D" w:rsidRDefault="002E3F32" w:rsidP="002E3F32">
            <w:pPr>
              <w:jc w:val="both"/>
              <w:rPr>
                <w:bCs/>
                <w:i/>
                <w:iCs/>
              </w:rPr>
            </w:pPr>
            <w:r w:rsidRPr="00F7739D">
              <w:rPr>
                <w:bCs/>
                <w:i/>
                <w:iCs/>
              </w:rPr>
              <w:t xml:space="preserve">1)      tööleping; </w:t>
            </w:r>
          </w:p>
          <w:p w14:paraId="5636FA0B" w14:textId="77777777" w:rsidR="002E3F32" w:rsidRPr="00F7739D" w:rsidRDefault="002E3F32" w:rsidP="002E3F32">
            <w:pPr>
              <w:jc w:val="both"/>
              <w:rPr>
                <w:bCs/>
                <w:i/>
                <w:iCs/>
              </w:rPr>
            </w:pPr>
            <w:r w:rsidRPr="00F7739D">
              <w:rPr>
                <w:bCs/>
                <w:i/>
                <w:iCs/>
              </w:rPr>
              <w:t xml:space="preserve">2)      töövõtuleping; </w:t>
            </w:r>
          </w:p>
          <w:p w14:paraId="162352F6" w14:textId="77777777" w:rsidR="002E3F32" w:rsidRPr="00F7739D" w:rsidRDefault="002E3F32" w:rsidP="002E3F32">
            <w:pPr>
              <w:jc w:val="both"/>
              <w:rPr>
                <w:bCs/>
                <w:i/>
                <w:iCs/>
              </w:rPr>
            </w:pPr>
            <w:r w:rsidRPr="00F7739D">
              <w:rPr>
                <w:bCs/>
                <w:i/>
                <w:iCs/>
              </w:rPr>
              <w:t xml:space="preserve">3)      käsundusleping; </w:t>
            </w:r>
          </w:p>
          <w:p w14:paraId="64326E79" w14:textId="77777777" w:rsidR="002E3F32" w:rsidRPr="00F7739D" w:rsidRDefault="002E3F32" w:rsidP="002E3F32">
            <w:pPr>
              <w:jc w:val="both"/>
              <w:rPr>
                <w:bCs/>
                <w:i/>
                <w:iCs/>
              </w:rPr>
            </w:pPr>
            <w:r w:rsidRPr="00F7739D">
              <w:rPr>
                <w:bCs/>
                <w:i/>
                <w:iCs/>
              </w:rPr>
              <w:t>4)      teenuse osutamiseks sõlmitud muu võlaõiguslik leping.“.</w:t>
            </w:r>
          </w:p>
          <w:bookmarkEnd w:id="5"/>
          <w:p w14:paraId="7DC50041" w14:textId="77777777" w:rsidR="002E3F32" w:rsidRPr="00F7739D" w:rsidRDefault="002E3F32" w:rsidP="002E3F32">
            <w:pPr>
              <w:jc w:val="both"/>
              <w:rPr>
                <w:bCs/>
              </w:rPr>
            </w:pPr>
            <w:r w:rsidRPr="00F7739D">
              <w:rPr>
                <w:bCs/>
              </w:rPr>
              <w:t> </w:t>
            </w:r>
          </w:p>
          <w:p w14:paraId="09A7B7D3" w14:textId="77777777" w:rsidR="002E3F32" w:rsidRPr="00F7739D" w:rsidRDefault="002E3F32" w:rsidP="002E3F32">
            <w:pPr>
              <w:jc w:val="both"/>
              <w:rPr>
                <w:bCs/>
              </w:rPr>
            </w:pPr>
            <w:r w:rsidRPr="00F7739D">
              <w:rPr>
                <w:bCs/>
              </w:rPr>
              <w:t>Alternatiivina võib lisada TVTS § 12 lõike 2</w:t>
            </w:r>
            <w:r w:rsidRPr="00F7739D">
              <w:rPr>
                <w:bCs/>
                <w:vertAlign w:val="superscript"/>
              </w:rPr>
              <w:t xml:space="preserve">1  </w:t>
            </w:r>
            <w:r w:rsidRPr="00F7739D">
              <w:rPr>
                <w:bCs/>
              </w:rPr>
              <w:t>punkti 3 lõppu sõna „või“:</w:t>
            </w:r>
          </w:p>
          <w:p w14:paraId="0243D706" w14:textId="77777777" w:rsidR="002E3F32" w:rsidRPr="00F7739D" w:rsidRDefault="002E3F32" w:rsidP="002E3F32">
            <w:pPr>
              <w:jc w:val="both"/>
              <w:rPr>
                <w:bCs/>
              </w:rPr>
            </w:pPr>
            <w:r w:rsidRPr="00F7739D">
              <w:rPr>
                <w:bCs/>
              </w:rPr>
              <w:t> </w:t>
            </w:r>
          </w:p>
          <w:p w14:paraId="7F9CAB96" w14:textId="77777777" w:rsidR="002E3F32" w:rsidRPr="00F7739D" w:rsidRDefault="002E3F32" w:rsidP="002E3F32">
            <w:pPr>
              <w:jc w:val="both"/>
              <w:rPr>
                <w:bCs/>
                <w:i/>
                <w:iCs/>
              </w:rPr>
            </w:pPr>
            <w:r w:rsidRPr="00F7739D">
              <w:rPr>
                <w:bCs/>
                <w:i/>
                <w:iCs/>
              </w:rPr>
              <w:t>„(2</w:t>
            </w:r>
            <w:r w:rsidRPr="00F7739D">
              <w:rPr>
                <w:bCs/>
                <w:i/>
                <w:iCs/>
                <w:vertAlign w:val="superscript"/>
              </w:rPr>
              <w:t>1</w:t>
            </w:r>
            <w:r w:rsidRPr="00F7739D">
              <w:rPr>
                <w:bCs/>
                <w:i/>
                <w:iCs/>
              </w:rPr>
              <w:t xml:space="preserve">) Lühiajaliseks Eestis töötamiseks antud pikaajalise viisa alusel Eestis viibival ja töötaval välismaalasel on õigus töövõimetoetusele, kui ta töötab </w:t>
            </w:r>
            <w:r w:rsidRPr="00F7739D">
              <w:rPr>
                <w:bCs/>
                <w:i/>
                <w:iCs/>
                <w:u w:val="single"/>
              </w:rPr>
              <w:t>vähemalt ühe</w:t>
            </w:r>
            <w:r w:rsidRPr="00F7739D">
              <w:rPr>
                <w:bCs/>
                <w:i/>
                <w:iCs/>
              </w:rPr>
              <w:t xml:space="preserve"> järgmise lepingu alusel: </w:t>
            </w:r>
          </w:p>
          <w:p w14:paraId="386F925B" w14:textId="77777777" w:rsidR="002E3F32" w:rsidRPr="00F7739D" w:rsidRDefault="002E3F32" w:rsidP="002E3F32">
            <w:pPr>
              <w:jc w:val="both"/>
              <w:rPr>
                <w:bCs/>
                <w:i/>
                <w:iCs/>
              </w:rPr>
            </w:pPr>
            <w:r w:rsidRPr="00F7739D">
              <w:rPr>
                <w:bCs/>
                <w:i/>
                <w:iCs/>
              </w:rPr>
              <w:t xml:space="preserve">1)      tööleping; </w:t>
            </w:r>
          </w:p>
          <w:p w14:paraId="2B4E7704" w14:textId="77777777" w:rsidR="002E3F32" w:rsidRPr="00F7739D" w:rsidRDefault="002E3F32" w:rsidP="002E3F32">
            <w:pPr>
              <w:jc w:val="both"/>
              <w:rPr>
                <w:bCs/>
                <w:i/>
                <w:iCs/>
              </w:rPr>
            </w:pPr>
            <w:r w:rsidRPr="00F7739D">
              <w:rPr>
                <w:bCs/>
                <w:i/>
                <w:iCs/>
              </w:rPr>
              <w:t xml:space="preserve">2)      töövõtuleping; </w:t>
            </w:r>
          </w:p>
          <w:p w14:paraId="7C3892A4" w14:textId="77777777" w:rsidR="002E3F32" w:rsidRPr="00F7739D" w:rsidRDefault="002E3F32" w:rsidP="002E3F32">
            <w:pPr>
              <w:jc w:val="both"/>
              <w:rPr>
                <w:bCs/>
                <w:i/>
                <w:iCs/>
              </w:rPr>
            </w:pPr>
            <w:r w:rsidRPr="00F7739D">
              <w:rPr>
                <w:bCs/>
                <w:i/>
                <w:iCs/>
              </w:rPr>
              <w:t xml:space="preserve">3)      käsundusleping </w:t>
            </w:r>
            <w:r w:rsidRPr="00F7739D">
              <w:rPr>
                <w:bCs/>
                <w:i/>
                <w:iCs/>
                <w:u w:val="single"/>
              </w:rPr>
              <w:t>või</w:t>
            </w:r>
            <w:r w:rsidRPr="00F7739D">
              <w:rPr>
                <w:bCs/>
                <w:i/>
                <w:iCs/>
              </w:rPr>
              <w:t xml:space="preserve">; </w:t>
            </w:r>
          </w:p>
          <w:p w14:paraId="1C272EEF" w14:textId="7C872EB9" w:rsidR="002E3F32" w:rsidRPr="00CA11C9" w:rsidRDefault="002E3F32" w:rsidP="002E3F32">
            <w:pPr>
              <w:jc w:val="both"/>
              <w:rPr>
                <w:bCs/>
                <w:i/>
                <w:iCs/>
              </w:rPr>
            </w:pPr>
            <w:r w:rsidRPr="00F7739D">
              <w:rPr>
                <w:bCs/>
                <w:i/>
                <w:iCs/>
              </w:rPr>
              <w:lastRenderedPageBreak/>
              <w:t>4)      teenuse osutamiseks sõlmitud muu võlaõiguslik leping.“</w:t>
            </w:r>
          </w:p>
        </w:tc>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tcPr>
          <w:p w14:paraId="3E9B1D9E" w14:textId="77777777" w:rsidR="002E3F32" w:rsidRPr="00875674" w:rsidRDefault="002E3F32" w:rsidP="002E3F32">
            <w:pPr>
              <w:rPr>
                <w:u w:val="single"/>
              </w:rPr>
            </w:pPr>
            <w:r w:rsidRPr="00875674">
              <w:rPr>
                <w:u w:val="single"/>
              </w:rPr>
              <w:lastRenderedPageBreak/>
              <w:t xml:space="preserve">Arvestatud. </w:t>
            </w:r>
          </w:p>
          <w:p w14:paraId="3561BE05" w14:textId="6A2629FB" w:rsidR="002E3F32" w:rsidRDefault="002E3F32" w:rsidP="002E3F32">
            <w:pPr>
              <w:jc w:val="both"/>
            </w:pPr>
            <w:r>
              <w:t>TVTS-i § 12 lõike 2</w:t>
            </w:r>
            <w:r w:rsidRPr="00875674">
              <w:rPr>
                <w:vertAlign w:val="superscript"/>
              </w:rPr>
              <w:t>1</w:t>
            </w:r>
            <w:r>
              <w:t xml:space="preserve"> tekst muudetud vastavalt tehtud ettepanekule: </w:t>
            </w:r>
          </w:p>
          <w:p w14:paraId="2640593F" w14:textId="0A021E01" w:rsidR="002E3F32" w:rsidRPr="00CA11C9" w:rsidRDefault="002E3F32" w:rsidP="00CA11C9">
            <w:pPr>
              <w:jc w:val="both"/>
              <w:rPr>
                <w:bCs/>
                <w:i/>
                <w:iCs/>
              </w:rPr>
            </w:pPr>
            <w:r w:rsidRPr="00182CAC">
              <w:rPr>
                <w:i/>
                <w:iCs/>
              </w:rPr>
              <w:t>„(2</w:t>
            </w:r>
            <w:r w:rsidRPr="00182CAC">
              <w:rPr>
                <w:i/>
                <w:iCs/>
                <w:vertAlign w:val="superscript"/>
              </w:rPr>
              <w:t>1</w:t>
            </w:r>
            <w:r w:rsidRPr="00182CAC">
              <w:rPr>
                <w:i/>
                <w:iCs/>
              </w:rPr>
              <w:t>) Lühiajaliseks Eestis töötamiseks antud pikaajalise viisa alusel Eestis viibival ja töötaval välismaalasel on õigus töövõimetoetusele, kui ta töötab töölepingu alusel või töövõtulepingu, käsunduslepingu või teenuse osutamiseks sõlmitud muu võlaõigusliku lepingu alusel.“</w:t>
            </w:r>
            <w:r w:rsidR="00CA11C9">
              <w:rPr>
                <w:i/>
                <w:iCs/>
              </w:rPr>
              <w:t>.</w:t>
            </w:r>
          </w:p>
        </w:tc>
      </w:tr>
      <w:tr w:rsidR="002E3F32" w:rsidRPr="002D2B15" w14:paraId="4DF2498E" w14:textId="77777777" w:rsidTr="009B75B6">
        <w:trPr>
          <w:trHeight w:val="637"/>
        </w:trPr>
        <w:tc>
          <w:tcPr>
            <w:tcW w:w="524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BD455F6" w14:textId="5299E64C" w:rsidR="002E3F32" w:rsidRPr="00C377AC" w:rsidRDefault="002E3F32" w:rsidP="002E3F32">
            <w:pPr>
              <w:jc w:val="both"/>
              <w:rPr>
                <w:b/>
              </w:rPr>
            </w:pPr>
            <w:r w:rsidRPr="00C377AC">
              <w:rPr>
                <w:b/>
              </w:rPr>
              <w:t>Politsei- ja Piirivalveamet</w:t>
            </w:r>
          </w:p>
        </w:tc>
        <w:tc>
          <w:tcPr>
            <w:tcW w:w="439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9D4F578" w14:textId="77777777" w:rsidR="002E3F32" w:rsidRPr="00C377AC" w:rsidRDefault="002E3F32" w:rsidP="002E3F32">
            <w:r w:rsidRPr="00C377AC">
              <w:t>Marina Kadak</w:t>
            </w:r>
          </w:p>
          <w:p w14:paraId="6BF26AA6" w14:textId="675EFD81" w:rsidR="002E3F32" w:rsidRPr="00C377AC" w:rsidRDefault="002E3F32" w:rsidP="002E3F32">
            <w:pPr>
              <w:rPr>
                <w:u w:val="single"/>
              </w:rPr>
            </w:pPr>
            <w:hyperlink r:id="rId18" w:history="1">
              <w:r w:rsidRPr="00F3541E">
                <w:rPr>
                  <w:rStyle w:val="Hperlink"/>
                </w:rPr>
                <w:t>Marina.Kadak@politsei.ee</w:t>
              </w:r>
            </w:hyperlink>
            <w:r>
              <w:rPr>
                <w:u w:val="single"/>
              </w:rPr>
              <w:t xml:space="preserve"> </w:t>
            </w:r>
          </w:p>
        </w:tc>
      </w:tr>
      <w:tr w:rsidR="002E3F32" w:rsidRPr="002D2B15" w14:paraId="5DB1463F" w14:textId="77777777" w:rsidTr="009B75B6">
        <w:trPr>
          <w:trHeight w:val="1624"/>
        </w:trPr>
        <w:tc>
          <w:tcPr>
            <w:tcW w:w="5240" w:type="dxa"/>
            <w:tcBorders>
              <w:top w:val="single" w:sz="4" w:space="0" w:color="auto"/>
              <w:left w:val="single" w:sz="4" w:space="0" w:color="auto"/>
              <w:bottom w:val="single" w:sz="4" w:space="0" w:color="auto"/>
              <w:right w:val="single" w:sz="4" w:space="0" w:color="auto"/>
            </w:tcBorders>
            <w:shd w:val="clear" w:color="auto" w:fill="FFFFFF" w:themeFill="background1"/>
          </w:tcPr>
          <w:p w14:paraId="4C0D6ADD" w14:textId="0042A805" w:rsidR="002E3F32" w:rsidRPr="00DF43EF" w:rsidRDefault="002E3F32" w:rsidP="002E3F32">
            <w:pPr>
              <w:spacing w:after="5" w:line="245" w:lineRule="auto"/>
              <w:ind w:right="43"/>
              <w:jc w:val="both"/>
              <w:rPr>
                <w:rFonts w:eastAsia="Times New Roman"/>
                <w:b/>
                <w:bCs/>
                <w:iCs/>
              </w:rPr>
            </w:pPr>
            <w:r w:rsidRPr="00DF43EF">
              <w:rPr>
                <w:rFonts w:eastAsia="Times New Roman"/>
                <w:b/>
                <w:bCs/>
                <w:iCs/>
              </w:rPr>
              <w:t xml:space="preserve">1. </w:t>
            </w:r>
            <w:r>
              <w:rPr>
                <w:rFonts w:eastAsia="Times New Roman"/>
                <w:b/>
                <w:bCs/>
                <w:iCs/>
              </w:rPr>
              <w:t>Eelnõu § 1 punkt 2</w:t>
            </w:r>
          </w:p>
          <w:p w14:paraId="5BD51EC5" w14:textId="413FEA54" w:rsidR="002E3F32" w:rsidRDefault="002E3F32" w:rsidP="002E3F32">
            <w:pPr>
              <w:spacing w:after="5" w:line="245" w:lineRule="auto"/>
              <w:ind w:right="43"/>
              <w:jc w:val="both"/>
            </w:pPr>
            <w:r>
              <w:rPr>
                <w:rFonts w:eastAsia="Times New Roman"/>
                <w:i/>
              </w:rPr>
              <w:t>Paragrahvi 41 täiendatakse lõikega 3 järgmises sõnastuses: „(3) Kui töötamiseks antava tähtajalise elamisloa või selle pikendamise taotluse läbivaatamise riigilõivu tasub välismaalase tööandja, ei tohi ta seda välismaalaselt sisse nõuda.</w:t>
            </w:r>
          </w:p>
          <w:p w14:paraId="5DB87D30" w14:textId="77777777" w:rsidR="002E3F32" w:rsidRDefault="002E3F32" w:rsidP="002E3F32">
            <w:pPr>
              <w:ind w:left="-5" w:right="37"/>
            </w:pPr>
          </w:p>
          <w:p w14:paraId="144D3867" w14:textId="6B84E94C" w:rsidR="002E3F32" w:rsidRPr="00CA11C9" w:rsidRDefault="002E3F32" w:rsidP="00CA11C9">
            <w:pPr>
              <w:ind w:left="-5" w:right="37"/>
              <w:jc w:val="both"/>
            </w:pPr>
            <w:r>
              <w:t>Et kõik piirangud oleks VMS-</w:t>
            </w:r>
            <w:proofErr w:type="spellStart"/>
            <w:r>
              <w:t>is</w:t>
            </w:r>
            <w:proofErr w:type="spellEnd"/>
            <w:r>
              <w:t xml:space="preserve"> kehtestatud ühetaoliselt teeme ettepaneku kehtestada sarnaselt elamisloale vastav piirang (samas sättes) ka lühiajalise Eestis töötamise registreerimise  ja viisa taotlusele ning sarnaselt elamisloga ka nende aluste puhul määrata vastav sanktsioon.</w:t>
            </w:r>
          </w:p>
        </w:tc>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tcPr>
          <w:p w14:paraId="55328BBC" w14:textId="5218391B" w:rsidR="002E3F32" w:rsidRDefault="002E3F32" w:rsidP="002E3F32">
            <w:pPr>
              <w:rPr>
                <w:u w:val="single"/>
              </w:rPr>
            </w:pPr>
            <w:r>
              <w:rPr>
                <w:u w:val="single"/>
              </w:rPr>
              <w:t>Mitte arvestatud</w:t>
            </w:r>
          </w:p>
          <w:p w14:paraId="7179835C" w14:textId="4B5A7B24" w:rsidR="002E3F32" w:rsidRPr="004141BA" w:rsidRDefault="002E3F32" w:rsidP="002E3F32">
            <w:pPr>
              <w:jc w:val="both"/>
            </w:pPr>
            <w:r>
              <w:t>Selgitame, et e</w:t>
            </w:r>
            <w:r w:rsidRPr="00743401">
              <w:t>elnõuga võetakse Eesti õigusesse üle direktiiv 2024/1233, mistõttu ei lähe eelnõu muudatused direktiivis ette nähtust kaugemale. Direktiivi II peatükki, sh artiklit 10, mis sätestab piirangud menetlemise tasu tagasinõude osas, ei kohaldata viisa alusel töötavatele välismaalastele (vt direktiivi 2024/1233 artikkel 3 punkt 4). Seetõttu sätestatakse eelnõuga vastav piirang üksnes töötamiseks antavale tähtajalisele elamisloale. Sarnase piirangu loomist lühiajalise Eestis töötamise registreerimisele ja viisa taotlusele saame analüüsida tulevikus välismaalaste seaduse muutmise raames.</w:t>
            </w:r>
          </w:p>
        </w:tc>
      </w:tr>
      <w:tr w:rsidR="002E3F32" w:rsidRPr="002D2B15" w14:paraId="2856EC05" w14:textId="77777777" w:rsidTr="009B75B6">
        <w:trPr>
          <w:trHeight w:val="1624"/>
        </w:trPr>
        <w:tc>
          <w:tcPr>
            <w:tcW w:w="5240" w:type="dxa"/>
            <w:tcBorders>
              <w:top w:val="single" w:sz="4" w:space="0" w:color="auto"/>
              <w:left w:val="single" w:sz="4" w:space="0" w:color="auto"/>
              <w:bottom w:val="single" w:sz="4" w:space="0" w:color="auto"/>
              <w:right w:val="single" w:sz="4" w:space="0" w:color="auto"/>
            </w:tcBorders>
            <w:shd w:val="clear" w:color="auto" w:fill="FFFFFF" w:themeFill="background1"/>
          </w:tcPr>
          <w:p w14:paraId="367F091A" w14:textId="0EF93B1B" w:rsidR="002E3F32" w:rsidRPr="00DF43EF" w:rsidRDefault="002E3F32" w:rsidP="002E3F32">
            <w:pPr>
              <w:spacing w:after="5" w:line="245" w:lineRule="auto"/>
              <w:ind w:right="43"/>
              <w:jc w:val="both"/>
              <w:rPr>
                <w:rFonts w:eastAsia="Times New Roman"/>
                <w:b/>
                <w:bCs/>
                <w:iCs/>
              </w:rPr>
            </w:pPr>
            <w:r>
              <w:rPr>
                <w:rFonts w:eastAsia="Times New Roman"/>
                <w:b/>
                <w:bCs/>
                <w:iCs/>
              </w:rPr>
              <w:t xml:space="preserve">2. </w:t>
            </w:r>
            <w:r w:rsidRPr="00DF43EF">
              <w:rPr>
                <w:rFonts w:eastAsia="Times New Roman"/>
                <w:b/>
                <w:bCs/>
                <w:iCs/>
              </w:rPr>
              <w:t>Eelnõu § 1 punkt 6</w:t>
            </w:r>
            <w:r w:rsidRPr="00DF43EF">
              <w:rPr>
                <w:rFonts w:eastAsia="Times New Roman"/>
                <w:iCs/>
              </w:rPr>
              <w:t xml:space="preserve"> – VMS § 184</w:t>
            </w:r>
            <w:r w:rsidRPr="00DF43EF">
              <w:rPr>
                <w:rFonts w:eastAsia="Times New Roman"/>
                <w:iCs/>
                <w:vertAlign w:val="superscript"/>
              </w:rPr>
              <w:t>1</w:t>
            </w:r>
            <w:r w:rsidRPr="00DF43EF">
              <w:rPr>
                <w:rFonts w:eastAsia="Times New Roman"/>
                <w:iCs/>
              </w:rPr>
              <w:t xml:space="preserve"> lõike 2 muutmine.</w:t>
            </w:r>
          </w:p>
          <w:p w14:paraId="666D5FD4" w14:textId="41C0B15B" w:rsidR="002E3F32" w:rsidRDefault="002E3F32" w:rsidP="002E3F32">
            <w:pPr>
              <w:spacing w:after="5" w:line="245" w:lineRule="auto"/>
              <w:ind w:right="43"/>
              <w:jc w:val="both"/>
            </w:pPr>
            <w:r>
              <w:rPr>
                <w:rFonts w:eastAsia="Times New Roman"/>
                <w:i/>
              </w:rPr>
              <w:t xml:space="preserve">(2) </w:t>
            </w:r>
            <w:r>
              <w:rPr>
                <w:rFonts w:eastAsia="Times New Roman"/>
                <w:b/>
                <w:i/>
              </w:rPr>
              <w:t>Välismaalane ei tohi vahetada töötamiseks antud tähtajalise elamisloa kehtivusajal tööandjat</w:t>
            </w:r>
            <w:r>
              <w:rPr>
                <w:rFonts w:eastAsia="Times New Roman"/>
                <w:i/>
              </w:rPr>
              <w:t>, kui: 1) tal on tähtajaline elamisluba ettevõtjasiseseks üleviimiseks või 2) ta on lähetatud töötaja Eestisse lähetatud töötajate töötingimuste seaduse tähenduses.</w:t>
            </w:r>
          </w:p>
          <w:p w14:paraId="59171AD6" w14:textId="77777777" w:rsidR="002E3F32" w:rsidRDefault="002E3F32" w:rsidP="002E3F32">
            <w:pPr>
              <w:ind w:left="-5" w:right="37"/>
            </w:pPr>
          </w:p>
          <w:p w14:paraId="27B3BDC6" w14:textId="474A74AC" w:rsidR="002E3F32" w:rsidRDefault="002E3F32" w:rsidP="002E3F32">
            <w:pPr>
              <w:ind w:left="-5" w:right="37"/>
              <w:jc w:val="both"/>
              <w:rPr>
                <w:rFonts w:eastAsia="Times New Roman"/>
                <w:i/>
              </w:rPr>
            </w:pPr>
            <w:r>
              <w:t xml:space="preserve">Teeme ettepaneku antud sõnastuse muutmiseks, kuivõrd praegusest võib välja lugeda, et tööandja vahetamine on nimetatud elamisloa töötamiseks aluste puhul kogu elamisloa töötamise vältel keelatud. See aga ei ole antud sätte eesmärk. Eesmärk on, et nende kahe aluse puhul tööandja vahetamisel ei piisa uuel tööandjal töökohavahetuse registreerimise taotluse esitamisest </w:t>
            </w:r>
            <w:proofErr w:type="spellStart"/>
            <w:r>
              <w:t>PPA-le</w:t>
            </w:r>
            <w:proofErr w:type="spellEnd"/>
            <w:r>
              <w:t xml:space="preserve">. Tööandja vahetamise korral peavad välismaalased nende kahe aluse puhul igal juhul esitama </w:t>
            </w:r>
            <w:proofErr w:type="spellStart"/>
            <w:r>
              <w:t>PPA-le</w:t>
            </w:r>
            <w:proofErr w:type="spellEnd"/>
            <w:r>
              <w:t xml:space="preserve"> uue elamisloa taotluse töötamiseks uue tööandja juures, s.t kogu esialgne protsess tuleb nende kahe aluse puhul läbida uuesti algusest peale.</w:t>
            </w:r>
          </w:p>
        </w:tc>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tcPr>
          <w:p w14:paraId="04D1F5F2" w14:textId="77777777" w:rsidR="002E3F32" w:rsidRPr="00743401" w:rsidRDefault="002E3F32" w:rsidP="002E3F32">
            <w:pPr>
              <w:jc w:val="both"/>
              <w:rPr>
                <w:u w:val="single"/>
              </w:rPr>
            </w:pPr>
            <w:r w:rsidRPr="00743401">
              <w:rPr>
                <w:u w:val="single"/>
              </w:rPr>
              <w:t xml:space="preserve">Arvestatud </w:t>
            </w:r>
          </w:p>
          <w:p w14:paraId="24313050" w14:textId="77777777" w:rsidR="002E3F32" w:rsidRDefault="002E3F32" w:rsidP="002E3F32">
            <w:pPr>
              <w:jc w:val="both"/>
            </w:pPr>
            <w:r w:rsidRPr="00743401">
              <w:t xml:space="preserve">Sätte sõnastust vastavalt muudetud: </w:t>
            </w:r>
          </w:p>
          <w:p w14:paraId="589A0B5C" w14:textId="0E45BDBF" w:rsidR="002E3F32" w:rsidRDefault="002E3F32" w:rsidP="002E3F32">
            <w:pPr>
              <w:jc w:val="both"/>
            </w:pPr>
            <w:r>
              <w:rPr>
                <w:i/>
                <w:iCs/>
              </w:rPr>
              <w:t>„</w:t>
            </w:r>
            <w:r w:rsidRPr="00743401">
              <w:rPr>
                <w:i/>
                <w:iCs/>
              </w:rPr>
              <w:t>(2) Käesoleva paragrahvi lõiget 1 ei kohaldata välismaalasele, kui: 1) tal on tähtajaline elamisluba ettevõtjasiseseks üleviimiseks või 2) ta on lähetatud töötaja Eestisse lähetatud töötajate töötingimuste seaduse tähenduses.</w:t>
            </w:r>
            <w:r>
              <w:rPr>
                <w:i/>
                <w:iCs/>
              </w:rPr>
              <w:t>“</w:t>
            </w:r>
            <w:r w:rsidR="00CA11C9">
              <w:rPr>
                <w:i/>
                <w:iCs/>
              </w:rPr>
              <w:t>.</w:t>
            </w:r>
          </w:p>
          <w:p w14:paraId="6738BF52" w14:textId="77777777" w:rsidR="002E3F32" w:rsidRDefault="002E3F32" w:rsidP="002E3F32">
            <w:pPr>
              <w:jc w:val="both"/>
            </w:pPr>
          </w:p>
          <w:p w14:paraId="35841CF0" w14:textId="28B29CDE" w:rsidR="002E3F32" w:rsidRPr="00743401" w:rsidRDefault="002E3F32" w:rsidP="002E3F32">
            <w:pPr>
              <w:jc w:val="both"/>
            </w:pPr>
            <w:r w:rsidRPr="00743401">
              <w:t>Eelnõuga ei piirata välismaalase, kellel on tähtajaline elamisluba ettevõtjasiseseks üleviimiseks või kes on lähetatud töötaja Eestisse lähetatud töötajate töötingimuste seaduse tähenduses, õigust taotleda tööandja vahetamise eesmärgil uut tähtajalist elamisluba. Küll ei laiene eelnimetatud sihtgrupile direktiivist tulenev õigus töökohavahetusele sama töötamiseks antava tähtajalise elamisloa alusel.</w:t>
            </w:r>
          </w:p>
        </w:tc>
      </w:tr>
      <w:tr w:rsidR="002E3F32" w:rsidRPr="002D2B15" w14:paraId="776D8D45" w14:textId="77777777" w:rsidTr="009B75B6">
        <w:trPr>
          <w:trHeight w:val="1624"/>
        </w:trPr>
        <w:tc>
          <w:tcPr>
            <w:tcW w:w="5240" w:type="dxa"/>
            <w:tcBorders>
              <w:top w:val="single" w:sz="4" w:space="0" w:color="auto"/>
              <w:left w:val="single" w:sz="4" w:space="0" w:color="auto"/>
              <w:bottom w:val="single" w:sz="4" w:space="0" w:color="auto"/>
              <w:right w:val="single" w:sz="4" w:space="0" w:color="auto"/>
            </w:tcBorders>
            <w:shd w:val="clear" w:color="auto" w:fill="FFFFFF" w:themeFill="background1"/>
          </w:tcPr>
          <w:p w14:paraId="58DB79D9" w14:textId="683F91A4" w:rsidR="002E3F32" w:rsidRPr="00DF43EF" w:rsidRDefault="002E3F32" w:rsidP="002E3F32">
            <w:pPr>
              <w:spacing w:after="5" w:line="245" w:lineRule="auto"/>
              <w:ind w:right="43"/>
              <w:jc w:val="both"/>
              <w:rPr>
                <w:rFonts w:eastAsia="Times New Roman"/>
                <w:b/>
                <w:bCs/>
                <w:iCs/>
              </w:rPr>
            </w:pPr>
            <w:r w:rsidRPr="00DF43EF">
              <w:rPr>
                <w:rFonts w:eastAsia="Times New Roman"/>
                <w:b/>
                <w:bCs/>
                <w:iCs/>
              </w:rPr>
              <w:lastRenderedPageBreak/>
              <w:t>3. Eelnõu § 1 punkt 3</w:t>
            </w:r>
          </w:p>
          <w:p w14:paraId="3AA47F04" w14:textId="715E17B7" w:rsidR="002E3F32" w:rsidRDefault="002E3F32" w:rsidP="002E3F32">
            <w:pPr>
              <w:spacing w:after="5" w:line="245" w:lineRule="auto"/>
              <w:ind w:right="43"/>
              <w:jc w:val="both"/>
              <w:rPr>
                <w:rFonts w:eastAsia="Times New Roman"/>
                <w:i/>
              </w:rPr>
            </w:pPr>
            <w:r>
              <w:rPr>
                <w:rFonts w:eastAsia="Times New Roman"/>
                <w:i/>
              </w:rPr>
              <w:t xml:space="preserve">Paragrahvi 105 lõiget 4 täiendatakse punktidega 9 ja 10 järgmises sõnastuses: „9) kes viibib Eestis käesoleva seaduse § 130 alusel, tingimusel et tal oli tähtajaline elamisluba </w:t>
            </w:r>
            <w:r>
              <w:rPr>
                <w:rFonts w:eastAsia="Times New Roman"/>
                <w:b/>
                <w:i/>
              </w:rPr>
              <w:t>§ 118</w:t>
            </w:r>
            <w:r>
              <w:rPr>
                <w:rFonts w:eastAsia="Times New Roman"/>
                <w:i/>
              </w:rPr>
              <w:t xml:space="preserve"> punkti 1, 2, 3, 5, </w:t>
            </w:r>
            <w:r>
              <w:rPr>
                <w:rFonts w:eastAsia="Times New Roman"/>
                <w:b/>
                <w:i/>
              </w:rPr>
              <w:t>6</w:t>
            </w:r>
            <w:r>
              <w:rPr>
                <w:rFonts w:eastAsia="Times New Roman"/>
                <w:i/>
              </w:rPr>
              <w:t xml:space="preserve">, 6 </w:t>
            </w:r>
            <w:r>
              <w:rPr>
                <w:rFonts w:eastAsia="Times New Roman"/>
                <w:i/>
                <w:vertAlign w:val="superscript"/>
              </w:rPr>
              <w:t>1</w:t>
            </w:r>
            <w:r>
              <w:rPr>
                <w:rFonts w:eastAsia="Times New Roman"/>
                <w:i/>
              </w:rPr>
              <w:t xml:space="preserve"> , 6</w:t>
            </w:r>
            <w:r>
              <w:rPr>
                <w:rFonts w:eastAsia="Times New Roman"/>
                <w:i/>
                <w:vertAlign w:val="superscript"/>
              </w:rPr>
              <w:t>2</w:t>
            </w:r>
            <w:r>
              <w:rPr>
                <w:rFonts w:eastAsia="Times New Roman"/>
                <w:i/>
              </w:rPr>
              <w:t xml:space="preserve"> , 7 või 9 alusel.</w:t>
            </w:r>
          </w:p>
          <w:p w14:paraId="29BBCF7A" w14:textId="77777777" w:rsidR="002E3F32" w:rsidRDefault="002E3F32" w:rsidP="002E3F32">
            <w:pPr>
              <w:spacing w:after="5" w:line="245" w:lineRule="auto"/>
              <w:ind w:right="43"/>
              <w:jc w:val="both"/>
            </w:pPr>
          </w:p>
          <w:p w14:paraId="7A60001D" w14:textId="7ACBA3F6" w:rsidR="002E3F32" w:rsidRPr="00CA11C9" w:rsidRDefault="002E3F32" w:rsidP="00CA11C9">
            <w:pPr>
              <w:ind w:left="-5" w:right="37"/>
              <w:jc w:val="both"/>
            </w:pPr>
            <w:r>
              <w:t xml:space="preserve">Peame vajalikuks märkida, et VMS § 118 punkt 6 on alates 01.07.2012 kehtetu ning sarnaselt sama sätte punktiga 8 palume seda eraldi mitte loetleda. </w:t>
            </w:r>
          </w:p>
        </w:tc>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tcPr>
          <w:p w14:paraId="081AB507" w14:textId="08148E1B" w:rsidR="002E3F32" w:rsidRPr="00F55B79" w:rsidRDefault="002E3F32" w:rsidP="002E3F32">
            <w:pPr>
              <w:jc w:val="both"/>
              <w:rPr>
                <w:u w:val="single"/>
              </w:rPr>
            </w:pPr>
            <w:r>
              <w:rPr>
                <w:u w:val="single"/>
              </w:rPr>
              <w:t>A</w:t>
            </w:r>
            <w:r w:rsidRPr="00F55B79">
              <w:rPr>
                <w:u w:val="single"/>
              </w:rPr>
              <w:t>rvestatud</w:t>
            </w:r>
          </w:p>
          <w:p w14:paraId="4FF14EEC" w14:textId="0374A9B5" w:rsidR="002E3F32" w:rsidRPr="008F574E" w:rsidRDefault="002E3F32" w:rsidP="002E3F32">
            <w:pPr>
              <w:jc w:val="both"/>
            </w:pPr>
            <w:r>
              <w:t xml:space="preserve">VMS § 118 punkt 8 (tähtajaline elamisluba kaaluka avaliku huvi korral) tunnistati kehtetuks 01.01.2015 aastal jõustunud muudatustega ning vastaval alusel välja antud elamislube enam ei ole. Kuigi VMS § 118 punkt 6 (tähtajaline elamisluba piisava legaalse sissetuleku olemasolu korral) tunnistati kehtetuks 01.07.2012 aastal jõustunud muudatustega ja sellel alusel elamislube enam välja ei anta, on 25.08.2025 seisuga sellel alusel välja antud kehtivaid elamislube veel kuus. Praktikas võib </w:t>
            </w:r>
            <w:r w:rsidRPr="008F574E">
              <w:t>tekkida olukord,</w:t>
            </w:r>
            <w:r>
              <w:t xml:space="preserve"> kus välismaalane, kes omab tähtajalist elamisluba piisava legaalse sissetuleku olemasolu korral, pikendab oma elamisluba või taotleb uut elamisluba muul alusel ning menetluse kestel varasema elamisloa kehtivusaja lõppedes viibib Eestis VMS-i § 130 alusel. VMS-i § 200 kohaselt on v</w:t>
            </w:r>
            <w:r w:rsidRPr="00AE62B0">
              <w:t>älismaalasel, kellel on tähtajaline elamisluba piisava legaalse sissetuleku alusel, keelatud Eestis töötada.</w:t>
            </w:r>
            <w:r>
              <w:t xml:space="preserve"> Seega ei saa tekkida neil töötamise õigust ka VMS-i § 130 alusel Eestis viibides.</w:t>
            </w:r>
          </w:p>
        </w:tc>
      </w:tr>
      <w:tr w:rsidR="002E3F32" w:rsidRPr="002D2B15" w14:paraId="1C4A3EC7" w14:textId="77777777" w:rsidTr="009B75B6">
        <w:trPr>
          <w:trHeight w:val="1624"/>
        </w:trPr>
        <w:tc>
          <w:tcPr>
            <w:tcW w:w="5240" w:type="dxa"/>
            <w:tcBorders>
              <w:top w:val="single" w:sz="4" w:space="0" w:color="auto"/>
              <w:left w:val="single" w:sz="4" w:space="0" w:color="auto"/>
              <w:bottom w:val="single" w:sz="4" w:space="0" w:color="auto"/>
              <w:right w:val="single" w:sz="4" w:space="0" w:color="auto"/>
            </w:tcBorders>
            <w:shd w:val="clear" w:color="auto" w:fill="FFFFFF" w:themeFill="background1"/>
          </w:tcPr>
          <w:p w14:paraId="122FA733" w14:textId="0F8FA2AF" w:rsidR="002E3F32" w:rsidRDefault="002E3F32" w:rsidP="002E3F32">
            <w:pPr>
              <w:ind w:right="45"/>
              <w:jc w:val="both"/>
              <w:rPr>
                <w:rFonts w:eastAsia="Times New Roman"/>
                <w:b/>
                <w:bCs/>
                <w:iCs/>
              </w:rPr>
            </w:pPr>
            <w:r>
              <w:rPr>
                <w:rFonts w:eastAsia="Times New Roman"/>
                <w:b/>
                <w:bCs/>
                <w:iCs/>
              </w:rPr>
              <w:t>4</w:t>
            </w:r>
            <w:r w:rsidRPr="00DF43EF">
              <w:rPr>
                <w:rFonts w:eastAsia="Times New Roman"/>
                <w:b/>
                <w:bCs/>
                <w:iCs/>
              </w:rPr>
              <w:t xml:space="preserve">. Eelnõu § 1 punkt </w:t>
            </w:r>
            <w:r>
              <w:rPr>
                <w:rFonts w:eastAsia="Times New Roman"/>
                <w:b/>
                <w:bCs/>
                <w:iCs/>
              </w:rPr>
              <w:t>6</w:t>
            </w:r>
          </w:p>
          <w:p w14:paraId="0538BB85" w14:textId="77777777" w:rsidR="002E3F32" w:rsidRDefault="002E3F32" w:rsidP="002E3F32">
            <w:pPr>
              <w:ind w:right="45"/>
              <w:jc w:val="both"/>
              <w:rPr>
                <w:rFonts w:eastAsia="Times New Roman"/>
                <w:i/>
              </w:rPr>
            </w:pPr>
            <w:r>
              <w:rPr>
                <w:rFonts w:eastAsia="Times New Roman"/>
                <w:b/>
                <w:i/>
              </w:rPr>
              <w:t>„§ 184</w:t>
            </w:r>
            <w:r>
              <w:rPr>
                <w:rFonts w:eastAsia="Times New Roman"/>
                <w:b/>
                <w:i/>
                <w:vertAlign w:val="superscript"/>
              </w:rPr>
              <w:t>1</w:t>
            </w:r>
            <w:r>
              <w:rPr>
                <w:rFonts w:eastAsia="Times New Roman"/>
                <w:b/>
                <w:i/>
              </w:rPr>
              <w:t xml:space="preserve"> . Tööandja vahetamine</w:t>
            </w:r>
            <w:r>
              <w:rPr>
                <w:rFonts w:eastAsia="Times New Roman"/>
                <w:i/>
              </w:rPr>
              <w:t xml:space="preserve"> </w:t>
            </w:r>
          </w:p>
          <w:p w14:paraId="62E263A6" w14:textId="5B9BDB4B" w:rsidR="002E3F32" w:rsidRPr="00C377AC" w:rsidRDefault="002E3F32" w:rsidP="002E3F32">
            <w:pPr>
              <w:ind w:right="45"/>
              <w:jc w:val="both"/>
            </w:pPr>
            <w:r>
              <w:rPr>
                <w:rFonts w:eastAsia="Times New Roman"/>
                <w:i/>
              </w:rPr>
              <w:t>(3) Töötamine uue tööandja juures ei pea vastama käesoleva seaduse § 176</w:t>
            </w:r>
            <w:r>
              <w:rPr>
                <w:rFonts w:eastAsia="Times New Roman"/>
                <w:i/>
                <w:vertAlign w:val="superscript"/>
              </w:rPr>
              <w:t>2</w:t>
            </w:r>
            <w:r>
              <w:rPr>
                <w:rFonts w:eastAsia="Times New Roman"/>
                <w:i/>
              </w:rPr>
              <w:t xml:space="preserve"> lõike 1 punktides 1, 2 ja 4 sätestatud elamisloa andmise </w:t>
            </w:r>
            <w:r w:rsidRPr="00C377AC">
              <w:rPr>
                <w:sz w:val="20"/>
              </w:rPr>
              <w:t xml:space="preserve"> </w:t>
            </w:r>
            <w:r w:rsidRPr="00C377AC">
              <w:rPr>
                <w:rFonts w:eastAsia="Times New Roman"/>
                <w:i/>
              </w:rPr>
              <w:t xml:space="preserve">tingimustele, kui välismaalasel on tähtajaline elamisluba lühiajaliseks töötamiseks ja ta jätkab uue tööandja juures töötamist samal alusel. </w:t>
            </w:r>
          </w:p>
          <w:p w14:paraId="5026CFBD" w14:textId="2215B844" w:rsidR="002E3F32" w:rsidRDefault="002E3F32" w:rsidP="002E3F32">
            <w:pPr>
              <w:spacing w:after="5" w:line="245" w:lineRule="auto"/>
              <w:ind w:right="43"/>
              <w:jc w:val="both"/>
              <w:rPr>
                <w:rFonts w:eastAsia="Times New Roman"/>
                <w:i/>
              </w:rPr>
            </w:pPr>
            <w:r>
              <w:t>PPA ei nõustu antud sätte kohaldamisega, kuivõrd sellisel juhul kaob VMS  § 176</w:t>
            </w:r>
            <w:r>
              <w:rPr>
                <w:vertAlign w:val="superscript"/>
              </w:rPr>
              <w:t>2</w:t>
            </w:r>
            <w:r>
              <w:t xml:space="preserve">  sätte esialgne kontseptsioon ja eesmärk. Seni on olnud keelatud antud sätte alusel tööandja vahetamine uue tööandja juurde töötamiseks samal alusel. Lubatud on tööandja vahetamine, kui elamisluba töötamiseks taotletakse mõnel muul alusel (nt üldtingimustel ja piirarvu kohaldamisega). Kuid samal alusel välismaalased praeguse kehtiva regulatsiooni kohaselt elamisluba uuesti taotleda ei saa, ilma, et nad vahepeal oleks eemal ning läbiksid kogu vajaliku protsessi algusest peale.</w:t>
            </w:r>
          </w:p>
        </w:tc>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tcPr>
          <w:p w14:paraId="24842DDE" w14:textId="77777777" w:rsidR="002E3F32" w:rsidRDefault="002E3F32" w:rsidP="002E3F32">
            <w:pPr>
              <w:rPr>
                <w:u w:val="single"/>
              </w:rPr>
            </w:pPr>
            <w:r>
              <w:rPr>
                <w:u w:val="single"/>
              </w:rPr>
              <w:t>Selgitus</w:t>
            </w:r>
          </w:p>
          <w:p w14:paraId="7DE07649" w14:textId="2C6130FF" w:rsidR="002E3F32" w:rsidRDefault="002E3F32" w:rsidP="002E3F32">
            <w:pPr>
              <w:jc w:val="both"/>
            </w:pPr>
            <w:r>
              <w:t xml:space="preserve">Direktiivi kohaselt on ühtne luba elamisluba, mis võimaldab kolmanda riigi kodanikul asjaomases liikmesriigis töötamise eesmärgil seaduslikult elada (direktiivi </w:t>
            </w:r>
            <w:r w:rsidRPr="004141BA">
              <w:t>2024/1233</w:t>
            </w:r>
            <w:r>
              <w:t xml:space="preserve"> artikkel 2 punkt 3). Eesti mõistes on ühtne luba seega tähtajaline elamisluba töötamiseks, olenemata töötamise alusest, hõlmates mh ka tähtajalist elamisluba töötamiseks VMS-i § 176</w:t>
            </w:r>
            <w:r>
              <w:rPr>
                <w:vertAlign w:val="superscript"/>
              </w:rPr>
              <w:t>2</w:t>
            </w:r>
            <w:r>
              <w:t xml:space="preserve"> alusel. Direktiivist </w:t>
            </w:r>
            <w:r w:rsidRPr="004141BA">
              <w:t>2024/1233</w:t>
            </w:r>
            <w:r>
              <w:t xml:space="preserve"> tulenevalt (artikkel 11 lõige 2) peab liikmesriik lubama ühtse loa valdajal vahetada tööandjat. Kuigi liikmesriik võib tööandja vahetamisele sätestada teatud lisatingimused (loetletud direktiivi artikkel 11 lõikes 3), ei ole tööandja vahetamise piiramine direktiiviga lubatud. Eelnevast lähtuvalt tuleb ka VMS-i § 176</w:t>
            </w:r>
            <w:r>
              <w:rPr>
                <w:vertAlign w:val="superscript"/>
              </w:rPr>
              <w:t>2</w:t>
            </w:r>
            <w:r>
              <w:t xml:space="preserve"> alusel tähtajalise elamisloa töötamiseks saanud välismaalasel võimaldada tööandjat vahetada. Küll jääb ka edaspidi kehtima põhimõte, et VMS-i § 176</w:t>
            </w:r>
            <w:r>
              <w:rPr>
                <w:vertAlign w:val="superscript"/>
              </w:rPr>
              <w:t>2</w:t>
            </w:r>
            <w:r>
              <w:t xml:space="preserve"> alusel antud tähtajaline elamisluba antakse kehtivusajaga kuni kaks aastat ja seda ei </w:t>
            </w:r>
            <w:r>
              <w:lastRenderedPageBreak/>
              <w:t>pikendata (VMS § 186 lõige 5), samuti ei ole uut tähtajalist elamisluba töötamiseks VMS-i § 176</w:t>
            </w:r>
            <w:r>
              <w:rPr>
                <w:vertAlign w:val="superscript"/>
              </w:rPr>
              <w:t>2</w:t>
            </w:r>
            <w:r>
              <w:t xml:space="preserve"> alusel võimalik taotleda enne aasta möödumist pärast eelmise samal alusel antud elamisloa kehtivusaja lõppemist (VMS § 181 lõige 9). Seega, kui ka välismaalane vahetab VMS-i § 176</w:t>
            </w:r>
            <w:r>
              <w:rPr>
                <w:vertAlign w:val="superscript"/>
              </w:rPr>
              <w:t>2</w:t>
            </w:r>
            <w:r>
              <w:t xml:space="preserve"> alusel antud tähtajalise elamisloa kehtivusajal tööandjat, ei saa ta oma elamisluba pikendada ning samal alusel uue elamisloa saab ta taotleda, kui ta on vahepeal Eestist eemal viibinud.</w:t>
            </w:r>
          </w:p>
          <w:p w14:paraId="7BFC620B" w14:textId="248CF067" w:rsidR="002E3F32" w:rsidRPr="00875674" w:rsidRDefault="002E3F32" w:rsidP="002E3F32">
            <w:pPr>
              <w:jc w:val="both"/>
              <w:rPr>
                <w:u w:val="single"/>
              </w:rPr>
            </w:pPr>
            <w:r>
              <w:t>Nii nagu kehtiva korra kohaselt on VMS-i § 176</w:t>
            </w:r>
            <w:r>
              <w:rPr>
                <w:vertAlign w:val="superscript"/>
              </w:rPr>
              <w:t>2</w:t>
            </w:r>
            <w:r>
              <w:t xml:space="preserve"> alusel tähtajalist elamisluba töötamiseks omaval välismaalasel võimalik taotleda uut elamisluba töötamiseks muul alusel (nt üldisel alusel), võib ka kõnesoleva eelnõuga tehtavate muudatuste järgselt välismaalane töökohavahetuse korral vahetada töötamise alust (nt minna üle üldisele alusele). Sellisel juhul ei kohaldu uue tööandja juures töötamisele, mis ei ole enam VMS-i § 176</w:t>
            </w:r>
            <w:r>
              <w:rPr>
                <w:vertAlign w:val="superscript"/>
              </w:rPr>
              <w:t>2</w:t>
            </w:r>
            <w:r>
              <w:t xml:space="preserve"> alusel, vastastavad piirangud, mis kohalduvad VMS-i § 176</w:t>
            </w:r>
            <w:r>
              <w:rPr>
                <w:vertAlign w:val="superscript"/>
              </w:rPr>
              <w:t>2</w:t>
            </w:r>
            <w:r>
              <w:t xml:space="preserve"> alusel antud tähtajalisele elamisloale.</w:t>
            </w:r>
          </w:p>
        </w:tc>
      </w:tr>
      <w:tr w:rsidR="002E3F32" w:rsidRPr="002D2B15" w14:paraId="5668DAFC" w14:textId="77777777" w:rsidTr="00CA11C9">
        <w:trPr>
          <w:trHeight w:val="1275"/>
        </w:trPr>
        <w:tc>
          <w:tcPr>
            <w:tcW w:w="5240" w:type="dxa"/>
            <w:tcBorders>
              <w:top w:val="single" w:sz="4" w:space="0" w:color="auto"/>
              <w:left w:val="single" w:sz="4" w:space="0" w:color="auto"/>
              <w:bottom w:val="single" w:sz="4" w:space="0" w:color="auto"/>
              <w:right w:val="single" w:sz="4" w:space="0" w:color="auto"/>
            </w:tcBorders>
            <w:shd w:val="clear" w:color="auto" w:fill="FFFFFF" w:themeFill="background1"/>
          </w:tcPr>
          <w:p w14:paraId="2BD88DC3" w14:textId="6BDA35DA" w:rsidR="002E3F32" w:rsidRDefault="002E3F32" w:rsidP="002E3F32">
            <w:pPr>
              <w:ind w:right="45"/>
              <w:jc w:val="both"/>
              <w:rPr>
                <w:rFonts w:eastAsia="Times New Roman"/>
                <w:b/>
                <w:bCs/>
                <w:iCs/>
              </w:rPr>
            </w:pPr>
            <w:r>
              <w:rPr>
                <w:rFonts w:eastAsia="Times New Roman"/>
                <w:b/>
                <w:bCs/>
                <w:iCs/>
              </w:rPr>
              <w:lastRenderedPageBreak/>
              <w:t>5</w:t>
            </w:r>
            <w:r w:rsidRPr="00DF43EF">
              <w:rPr>
                <w:rFonts w:eastAsia="Times New Roman"/>
                <w:b/>
                <w:bCs/>
                <w:iCs/>
              </w:rPr>
              <w:t xml:space="preserve">. Eelnõu § 1 punkt </w:t>
            </w:r>
            <w:r>
              <w:rPr>
                <w:rFonts w:eastAsia="Times New Roman"/>
                <w:b/>
                <w:bCs/>
                <w:iCs/>
              </w:rPr>
              <w:t>13</w:t>
            </w:r>
          </w:p>
          <w:p w14:paraId="72290CAF" w14:textId="77777777" w:rsidR="002E3F32" w:rsidRDefault="002E3F32" w:rsidP="002E3F32">
            <w:pPr>
              <w:spacing w:after="10"/>
              <w:ind w:left="-5"/>
              <w:rPr>
                <w:rFonts w:eastAsia="Times New Roman"/>
                <w:b/>
              </w:rPr>
            </w:pPr>
          </w:p>
          <w:p w14:paraId="59393483" w14:textId="07EEE08C" w:rsidR="002E3F32" w:rsidRDefault="002E3F32" w:rsidP="002E3F32">
            <w:pPr>
              <w:spacing w:after="10"/>
              <w:ind w:left="-5"/>
            </w:pPr>
            <w:r>
              <w:rPr>
                <w:rFonts w:eastAsia="Times New Roman"/>
                <w:b/>
              </w:rPr>
              <w:t>§ 189</w:t>
            </w:r>
            <w:r>
              <w:rPr>
                <w:rFonts w:eastAsia="Times New Roman"/>
                <w:b/>
                <w:vertAlign w:val="superscript"/>
              </w:rPr>
              <w:t>2</w:t>
            </w:r>
            <w:r>
              <w:rPr>
                <w:rFonts w:eastAsia="Times New Roman"/>
                <w:b/>
              </w:rPr>
              <w:t xml:space="preserve"> . </w:t>
            </w:r>
            <w:proofErr w:type="spellStart"/>
            <w:r>
              <w:rPr>
                <w:rFonts w:eastAsia="Times New Roman"/>
                <w:b/>
              </w:rPr>
              <w:t>Töötaolek</w:t>
            </w:r>
            <w:proofErr w:type="spellEnd"/>
            <w:r>
              <w:rPr>
                <w:rFonts w:eastAsia="Times New Roman"/>
                <w:b/>
              </w:rPr>
              <w:t xml:space="preserve"> </w:t>
            </w:r>
          </w:p>
          <w:p w14:paraId="02A063EE" w14:textId="77777777" w:rsidR="002E3F32" w:rsidRDefault="002E3F32" w:rsidP="002E3F32">
            <w:pPr>
              <w:spacing w:after="5" w:line="245" w:lineRule="auto"/>
              <w:ind w:left="355" w:right="43" w:hanging="370"/>
            </w:pPr>
            <w:r>
              <w:rPr>
                <w:rFonts w:eastAsia="Times New Roman"/>
                <w:i/>
              </w:rPr>
              <w:t>(1)</w:t>
            </w:r>
            <w:r>
              <w:rPr>
                <w:rFonts w:ascii="Arial" w:eastAsia="Arial" w:hAnsi="Arial" w:cs="Arial"/>
                <w:i/>
              </w:rPr>
              <w:t xml:space="preserve"> </w:t>
            </w:r>
            <w:r>
              <w:rPr>
                <w:rFonts w:eastAsia="Times New Roman"/>
                <w:i/>
              </w:rPr>
              <w:t xml:space="preserve">Välismaalane võib töötamiseks antud tähtajalise elamisloa kehtivusajal olla </w:t>
            </w:r>
            <w:r>
              <w:rPr>
                <w:rFonts w:eastAsia="Times New Roman"/>
                <w:b/>
                <w:i/>
              </w:rPr>
              <w:t>tööta kokku</w:t>
            </w:r>
            <w:r>
              <w:rPr>
                <w:rFonts w:eastAsia="Times New Roman"/>
                <w:i/>
              </w:rPr>
              <w:t xml:space="preserve">: 1) </w:t>
            </w:r>
            <w:r>
              <w:rPr>
                <w:rFonts w:eastAsia="Times New Roman"/>
                <w:b/>
                <w:i/>
              </w:rPr>
              <w:t>kuni kolm kuud,</w:t>
            </w:r>
            <w:r>
              <w:rPr>
                <w:rFonts w:eastAsia="Times New Roman"/>
                <w:i/>
              </w:rPr>
              <w:t xml:space="preserve"> kui tal on see elamisluba olnud alla kahe aasta; 2) </w:t>
            </w:r>
            <w:r>
              <w:rPr>
                <w:rFonts w:eastAsia="Times New Roman"/>
                <w:b/>
                <w:i/>
              </w:rPr>
              <w:t>kuni kuus kuud</w:t>
            </w:r>
            <w:r>
              <w:rPr>
                <w:rFonts w:eastAsia="Times New Roman"/>
                <w:i/>
              </w:rPr>
              <w:t xml:space="preserve">, kui tal on see elamisluba olnud vähemalt kaks aastat. </w:t>
            </w:r>
          </w:p>
          <w:p w14:paraId="5A4B010B" w14:textId="77777777" w:rsidR="002E3F32" w:rsidRDefault="002E3F32" w:rsidP="002E3F32">
            <w:pPr>
              <w:ind w:left="-5" w:right="37"/>
            </w:pPr>
          </w:p>
          <w:p w14:paraId="09C43AE8" w14:textId="4DEF52BE" w:rsidR="002E3F32" w:rsidRPr="007712F5" w:rsidRDefault="002E3F32" w:rsidP="002E3F32">
            <w:pPr>
              <w:ind w:left="-5" w:right="37"/>
              <w:jc w:val="both"/>
            </w:pPr>
            <w:r>
              <w:t xml:space="preserve">Kuna välismaalane võib elamisloa kehtivusaja jooksul olla tööta rohkem kui üks kord, kuid tema kogu tööta olemise periood kokku tema töötamiseks antud tähtajalise elamisloa kehtivusajal ei tohi ületada seaduses sätestatud perioodi, siis palun seletuskirja lahti kirjutada, kuidas PPA peaks arvutama kolme ja kuue kuu töötuks olemise perioodi. Milliste päevade arvuga tuleks sellisel juhul arvestada? Näiteks, kui välismaalane oleks järjest töötu veebruar (28 päeva), märts (31 päeva) ja aprill (30 päeva), siis sellisel juhul tähendaks kolm kuud 89 päeva. Aga kui isik oleks töötu alates novembrist (30 päeva), detsember (31 päeva) ja jaanuar (31 päeva), teeks kolm kuud kokku päevades 92 päeva. Õigusselguse huvides, kuna töötuks </w:t>
            </w:r>
            <w:r>
              <w:lastRenderedPageBreak/>
              <w:t>olemise periood ei pea olema järjest, siis palume konkreetset arvutusmetoodikat (viidet konkreetsele õigusaktile), kuidas PPA peaks hakkama arvutama töötuks olemise kolme ja kuute kuud kokku.</w:t>
            </w:r>
          </w:p>
        </w:tc>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tcPr>
          <w:p w14:paraId="40D93A58" w14:textId="07B211BB" w:rsidR="002E3F32" w:rsidRDefault="002E3F32" w:rsidP="002E3F32">
            <w:pPr>
              <w:rPr>
                <w:u w:val="single"/>
              </w:rPr>
            </w:pPr>
            <w:r>
              <w:rPr>
                <w:u w:val="single"/>
              </w:rPr>
              <w:lastRenderedPageBreak/>
              <w:t>Arvestatud osaliselt</w:t>
            </w:r>
          </w:p>
          <w:p w14:paraId="5A3FC19A" w14:textId="7CE65BEB" w:rsidR="002E3F32" w:rsidRDefault="002E3F32" w:rsidP="002E3F32">
            <w:pPr>
              <w:jc w:val="both"/>
            </w:pPr>
            <w:r>
              <w:t>Direktiiv reguleerib tööta olemise lubatud aega kuudes (direktiivi artikkel 11 lõige 4). Kui direktiivi ülevõtmisel lähtuda lubatud tööta olemise perioodi sätestamisel päevadest, siis sõltuvalt kuude pikkusest ei pruugi siseriiklik õigus olla enam direktiiviga kooskõlas. Näiteks kui välismaalase töötaks olemise esimene päev on 15. veebruar, siis on kolme kuu puhul tema viimane lubatud tööta olemise päev 14. mai. Kui sama arvestus sätestada päevades ja lubatud tööta olemise aeg oleks 90 päeva, siis sel juhul, kui tema esimene tööta olemise päev on 15. veebruar, on tema viimane lubatud tööta olemise päev 15. mai ja see ei oleks direktiiviga kooskõlas</w:t>
            </w:r>
            <w:r w:rsidR="00CA11C9">
              <w:t>.</w:t>
            </w:r>
          </w:p>
          <w:p w14:paraId="5AF318F2" w14:textId="77777777" w:rsidR="002E3F32" w:rsidRDefault="002E3F32" w:rsidP="002E3F32">
            <w:pPr>
              <w:jc w:val="both"/>
            </w:pPr>
          </w:p>
          <w:p w14:paraId="48148616" w14:textId="4248D166" w:rsidR="002E3F32" w:rsidRPr="007712F5" w:rsidRDefault="002E3F32" w:rsidP="002E3F32">
            <w:pPr>
              <w:jc w:val="both"/>
            </w:pPr>
            <w:bookmarkStart w:id="6" w:name="_Hlk207635088"/>
            <w:r w:rsidRPr="008C6101">
              <w:t xml:space="preserve">Seletuskirja täiendatud selgitusega, et tähtaja arvutamine toimub </w:t>
            </w:r>
            <w:proofErr w:type="spellStart"/>
            <w:r w:rsidRPr="0059080C">
              <w:t>tsiivilseadustiku</w:t>
            </w:r>
            <w:proofErr w:type="spellEnd"/>
            <w:r w:rsidRPr="0059080C">
              <w:t xml:space="preserve"> üldosa seaduse </w:t>
            </w:r>
            <w:r>
              <w:t>(</w:t>
            </w:r>
            <w:proofErr w:type="spellStart"/>
            <w:r w:rsidRPr="008C6101">
              <w:t>TsÜS</w:t>
            </w:r>
            <w:proofErr w:type="spellEnd"/>
            <w:r>
              <w:t>)</w:t>
            </w:r>
            <w:r w:rsidRPr="008C6101">
              <w:t xml:space="preserve"> 6. osa (§ 134–137) kohaselt. </w:t>
            </w:r>
            <w:r>
              <w:t xml:space="preserve">Haldusmenetluse seaduse </w:t>
            </w:r>
            <w:r w:rsidRPr="008C6101">
              <w:t xml:space="preserve">§ 33 lõike 1 kohaselt kohaldatakse tähtaegade arvutamisel haldusmenetluses  tsiviilkohtumenetluse seadustiku </w:t>
            </w:r>
            <w:r>
              <w:t>(</w:t>
            </w:r>
            <w:proofErr w:type="spellStart"/>
            <w:r>
              <w:t>TsMS</w:t>
            </w:r>
            <w:proofErr w:type="spellEnd"/>
            <w:r>
              <w:t xml:space="preserve">) </w:t>
            </w:r>
            <w:r w:rsidRPr="008C6101">
              <w:lastRenderedPageBreak/>
              <w:t>sätteid</w:t>
            </w:r>
            <w:bookmarkEnd w:id="6"/>
            <w:r>
              <w:t xml:space="preserve">. </w:t>
            </w:r>
            <w:proofErr w:type="spellStart"/>
            <w:r>
              <w:t>TsMS</w:t>
            </w:r>
            <w:proofErr w:type="spellEnd"/>
            <w:r>
              <w:t xml:space="preserve"> § 62 lõike 1 kohaselt kohaldatakse m</w:t>
            </w:r>
            <w:r w:rsidRPr="008723AA">
              <w:t xml:space="preserve">enetlustähtaegade arvutamisele </w:t>
            </w:r>
            <w:proofErr w:type="spellStart"/>
            <w:r>
              <w:t>TsÜS-is</w:t>
            </w:r>
            <w:proofErr w:type="spellEnd"/>
            <w:r w:rsidRPr="008723AA">
              <w:t xml:space="preserve"> tähtaja ja tähtpäeva kohta sätestatu</w:t>
            </w:r>
            <w:r>
              <w:t>t.</w:t>
            </w:r>
          </w:p>
        </w:tc>
      </w:tr>
      <w:tr w:rsidR="002E3F32" w:rsidRPr="002D2B15" w14:paraId="3F81868B" w14:textId="77777777" w:rsidTr="009B75B6">
        <w:trPr>
          <w:trHeight w:val="1624"/>
        </w:trPr>
        <w:tc>
          <w:tcPr>
            <w:tcW w:w="5240" w:type="dxa"/>
            <w:tcBorders>
              <w:top w:val="single" w:sz="4" w:space="0" w:color="auto"/>
              <w:left w:val="single" w:sz="4" w:space="0" w:color="auto"/>
              <w:bottom w:val="single" w:sz="4" w:space="0" w:color="auto"/>
              <w:right w:val="single" w:sz="4" w:space="0" w:color="auto"/>
            </w:tcBorders>
            <w:shd w:val="clear" w:color="auto" w:fill="FFFFFF" w:themeFill="background1"/>
          </w:tcPr>
          <w:p w14:paraId="00AD259A" w14:textId="1911E340" w:rsidR="002E3F32" w:rsidRDefault="002E3F32" w:rsidP="002E3F32">
            <w:pPr>
              <w:spacing w:after="10"/>
              <w:ind w:left="-5"/>
              <w:jc w:val="both"/>
              <w:rPr>
                <w:rFonts w:eastAsia="Times New Roman"/>
                <w:b/>
              </w:rPr>
            </w:pPr>
            <w:r>
              <w:rPr>
                <w:rFonts w:eastAsia="Times New Roman"/>
                <w:b/>
                <w:bCs/>
                <w:iCs/>
              </w:rPr>
              <w:lastRenderedPageBreak/>
              <w:t>6</w:t>
            </w:r>
            <w:r w:rsidRPr="00DF43EF">
              <w:rPr>
                <w:rFonts w:eastAsia="Times New Roman"/>
                <w:b/>
                <w:bCs/>
                <w:iCs/>
              </w:rPr>
              <w:t xml:space="preserve">. </w:t>
            </w:r>
            <w:r>
              <w:rPr>
                <w:rFonts w:eastAsia="Times New Roman"/>
                <w:b/>
                <w:bCs/>
                <w:iCs/>
              </w:rPr>
              <w:t xml:space="preserve">Eelnõu § 2 </w:t>
            </w:r>
            <w:r w:rsidRPr="00A23109">
              <w:rPr>
                <w:rFonts w:eastAsia="Times New Roman"/>
                <w:iCs/>
              </w:rPr>
              <w:t>-</w:t>
            </w:r>
            <w:r>
              <w:rPr>
                <w:rFonts w:eastAsia="Times New Roman"/>
                <w:b/>
                <w:bCs/>
                <w:iCs/>
              </w:rPr>
              <w:t xml:space="preserve"> </w:t>
            </w:r>
            <w:r>
              <w:t>Lisaks täpsustav küsimus, mis puudutab kõiki antud eelnõuga kehtestavaid hüvesid. Kas neid seostatakse Eestisse jääva sotsiaalmaksuga? Kas on mõeldud sellele, et välismaalane võib esitada oma koduriigi dokumendid ning paluda enda sotsiaalmaksud kanda koduriiki. Sellisel juhul hakkab Eesti riik maksma välismaalasele talle ettenähtud hüvesid kuid mingit tulu sellest Eestile ei laeku.</w:t>
            </w:r>
          </w:p>
        </w:tc>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tcPr>
          <w:p w14:paraId="64B95965" w14:textId="77777777" w:rsidR="002E3F32" w:rsidRDefault="002E3F32" w:rsidP="002E3F32">
            <w:pPr>
              <w:rPr>
                <w:u w:val="single"/>
              </w:rPr>
            </w:pPr>
            <w:r>
              <w:rPr>
                <w:u w:val="single"/>
              </w:rPr>
              <w:t>Selgitus</w:t>
            </w:r>
          </w:p>
          <w:p w14:paraId="40F61899" w14:textId="05F61F2C" w:rsidR="002E3F32" w:rsidRDefault="002E3F32" w:rsidP="002E3F32">
            <w:pPr>
              <w:jc w:val="both"/>
            </w:pPr>
            <w:r w:rsidRPr="00DC4893">
              <w:t>Eelnõu võrdse kohtlemise sätetega laiendatakse sotsiaalkindlustushüvitiste isikul</w:t>
            </w:r>
            <w:r>
              <w:t>is</w:t>
            </w:r>
            <w:r w:rsidRPr="00DC4893">
              <w:t>t kohaldumisala nendele välismaalastele, kellel on pikaajaline viisa lühiajalise töötamise eesmärgil ning kes töötavad Eestis.</w:t>
            </w:r>
            <w:r>
              <w:t xml:space="preserve"> Eestis töötamise eest saadud tulu on maksustatud sotsiaalmaksuga. </w:t>
            </w:r>
            <w:r w:rsidRPr="00DC4893">
              <w:t>Kui välismaalane ei tööta (enam) Eestis, isegi juhul kui tema pikaajaline viisa lühiajalise töötamise eesmärgil on kehtiv, ei ole tal õigust eelnõus loetletud sotsiaalkindlustushüvitistele.</w:t>
            </w:r>
            <w:r>
              <w:t xml:space="preserve"> </w:t>
            </w:r>
          </w:p>
          <w:p w14:paraId="0D884310" w14:textId="638EF851" w:rsidR="002E3F32" w:rsidRPr="00875674" w:rsidRDefault="002E3F32" w:rsidP="002E3F32">
            <w:pPr>
              <w:jc w:val="both"/>
              <w:rPr>
                <w:u w:val="single"/>
              </w:rPr>
            </w:pPr>
            <w:r>
              <w:t>Märgime ka, et eelnõuga muudetakse sotsiaalmaksuseadust selliselt, et lühiajalise töötamise eesmärgil pikaajalist viisat omavad inimesed ei ole hõlmatud nende isikute skoopi, kelle eest Eesti Töötukassa maksab erijuhtudel sotsiaalmaksu.</w:t>
            </w:r>
          </w:p>
        </w:tc>
      </w:tr>
      <w:tr w:rsidR="002E3F32" w:rsidRPr="002D2B15" w14:paraId="2A2E0EAB" w14:textId="77777777" w:rsidTr="00CA11C9">
        <w:trPr>
          <w:trHeight w:val="1417"/>
        </w:trPr>
        <w:tc>
          <w:tcPr>
            <w:tcW w:w="5240" w:type="dxa"/>
            <w:tcBorders>
              <w:top w:val="single" w:sz="4" w:space="0" w:color="auto"/>
              <w:left w:val="single" w:sz="4" w:space="0" w:color="auto"/>
              <w:bottom w:val="single" w:sz="4" w:space="0" w:color="auto"/>
              <w:right w:val="single" w:sz="4" w:space="0" w:color="auto"/>
            </w:tcBorders>
            <w:shd w:val="clear" w:color="auto" w:fill="FFFFFF" w:themeFill="background1"/>
          </w:tcPr>
          <w:p w14:paraId="6885BB6F" w14:textId="08ECF283" w:rsidR="002E3F32" w:rsidRDefault="002E3F32" w:rsidP="002E3F32">
            <w:pPr>
              <w:ind w:left="-5" w:right="37"/>
              <w:jc w:val="both"/>
            </w:pPr>
            <w:r>
              <w:rPr>
                <w:rFonts w:eastAsia="Times New Roman"/>
                <w:b/>
                <w:bCs/>
                <w:iCs/>
              </w:rPr>
              <w:t>7</w:t>
            </w:r>
            <w:r w:rsidRPr="00DF43EF">
              <w:rPr>
                <w:rFonts w:eastAsia="Times New Roman"/>
                <w:b/>
                <w:bCs/>
                <w:iCs/>
              </w:rPr>
              <w:t xml:space="preserve">. </w:t>
            </w:r>
            <w:r>
              <w:rPr>
                <w:rFonts w:eastAsia="Times New Roman"/>
                <w:b/>
                <w:bCs/>
                <w:iCs/>
              </w:rPr>
              <w:t xml:space="preserve">Eelnõu § 1 - </w:t>
            </w:r>
            <w:r>
              <w:t xml:space="preserve">Samuti on oluline markeerida, et antud muudatuste rakendamine eeldab infotehnoloogilisi arendustöid. Vaja on arendada elamislubade ja töölubade registrit (edaspidi </w:t>
            </w:r>
            <w:r>
              <w:rPr>
                <w:rFonts w:eastAsia="Times New Roman"/>
                <w:i/>
              </w:rPr>
              <w:t>ETR</w:t>
            </w:r>
            <w:r>
              <w:t xml:space="preserve">), mida </w:t>
            </w:r>
            <w:proofErr w:type="spellStart"/>
            <w:r>
              <w:t>PPA-l</w:t>
            </w:r>
            <w:proofErr w:type="spellEnd"/>
            <w:r>
              <w:t xml:space="preserve"> on kavas teha rändmenetluse infosüsteemi (edaspidi </w:t>
            </w:r>
            <w:r>
              <w:rPr>
                <w:rFonts w:eastAsia="Times New Roman"/>
                <w:i/>
              </w:rPr>
              <w:t>RIS</w:t>
            </w:r>
            <w:r>
              <w:t>) projekti raames.</w:t>
            </w:r>
            <w:r>
              <w:rPr>
                <w:rFonts w:eastAsia="Times New Roman"/>
                <w:i/>
              </w:rPr>
              <w:t xml:space="preserve"> </w:t>
            </w:r>
            <w:r>
              <w:t xml:space="preserve">Nagu varasemalt oleme juba teavitanud, kui muudatused puudutavad elamislubade menetlusi, siis nende arenduste tegemiseks on vajalik </w:t>
            </w:r>
            <w:proofErr w:type="spellStart"/>
            <w:r>
              <w:t>ETR-i</w:t>
            </w:r>
            <w:proofErr w:type="spellEnd"/>
            <w:r>
              <w:t xml:space="preserve"> välja kolimine UUSIS-st, mis on RIS III etapi arendusplaanides kuid selle jaoks ei ole veel </w:t>
            </w:r>
            <w:proofErr w:type="spellStart"/>
            <w:r>
              <w:t>PPA-le</w:t>
            </w:r>
            <w:proofErr w:type="spellEnd"/>
            <w:r>
              <w:t xml:space="preserve"> rahastust eraldatud. Kõik mis on seni kirjutatud </w:t>
            </w:r>
            <w:proofErr w:type="spellStart"/>
            <w:r>
              <w:t>Python</w:t>
            </w:r>
            <w:proofErr w:type="spellEnd"/>
            <w:r>
              <w:t xml:space="preserve"> 2.7 versiooni ning millele ei ole enam tootetuge juba alates 2020. a, uusi arendusi peale ei tehta. Kui PPA antud eelnõuga kaasnevaid arendusi realiseerida ei saa, tähendab see PPA jaoks lisa käsitööd, mis omakorda tähendab menetluste läbivaatamise pikenemist ja võib kaasa tuua täiendava inimressursi vajadust menetluste läbiviimiseks. Eeltoodust lähtuvalt peame vajalikuks täiendavalt välja tuua, et seletuskirjas toodud märkus „</w:t>
            </w:r>
            <w:r>
              <w:rPr>
                <w:rFonts w:eastAsia="Times New Roman"/>
                <w:i/>
              </w:rPr>
              <w:t xml:space="preserve">Kuigi edaspidi peab PPA välismaalase töökohavahetuseks elamisloa taotluse menetluse asemel läbi viima töökohavahetuse registreerimise menetluse, siis on töökohavahetuse registreerimise menetlus </w:t>
            </w:r>
            <w:proofErr w:type="spellStart"/>
            <w:r>
              <w:rPr>
                <w:rFonts w:eastAsia="Times New Roman"/>
                <w:i/>
              </w:rPr>
              <w:t>PPA-le</w:t>
            </w:r>
            <w:proofErr w:type="spellEnd"/>
            <w:r>
              <w:rPr>
                <w:rFonts w:eastAsia="Times New Roman"/>
                <w:i/>
              </w:rPr>
              <w:t xml:space="preserve"> väiksema </w:t>
            </w:r>
            <w:r>
              <w:rPr>
                <w:rFonts w:eastAsia="Times New Roman"/>
                <w:i/>
              </w:rPr>
              <w:lastRenderedPageBreak/>
              <w:t>töömahuga – kontrollitakse üksnes uue töötamisega seonduvaid asjaolusid</w:t>
            </w:r>
            <w:r>
              <w:t>.“ on asjakohane vaid juhul, kui planeeritavateks muudatusteks suudab PPA vajalikud arendused realiseerida ka vastavates andmebaasides.</w:t>
            </w:r>
          </w:p>
        </w:tc>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tcPr>
          <w:p w14:paraId="435F26FC" w14:textId="77777777" w:rsidR="002E3F32" w:rsidRDefault="002E3F32" w:rsidP="002E3F32">
            <w:pPr>
              <w:rPr>
                <w:u w:val="single"/>
              </w:rPr>
            </w:pPr>
            <w:r>
              <w:rPr>
                <w:u w:val="single"/>
              </w:rPr>
              <w:lastRenderedPageBreak/>
              <w:t>Teadmiseks võetud</w:t>
            </w:r>
          </w:p>
          <w:p w14:paraId="6D748563" w14:textId="20E8332C" w:rsidR="002E3F32" w:rsidRPr="00A23109" w:rsidRDefault="002E3F32" w:rsidP="002E3F32">
            <w:pPr>
              <w:jc w:val="both"/>
            </w:pPr>
            <w:r w:rsidRPr="00A23109">
              <w:t>Arendusvajadus kajastatud</w:t>
            </w:r>
            <w:r>
              <w:t xml:space="preserve"> kooskõlastamisele esitatud</w:t>
            </w:r>
            <w:r w:rsidRPr="00A23109">
              <w:t xml:space="preserve"> eelnõu seletuskirjas.</w:t>
            </w:r>
          </w:p>
        </w:tc>
      </w:tr>
      <w:bookmarkEnd w:id="0"/>
    </w:tbl>
    <w:p w14:paraId="0EFB26E9" w14:textId="77777777" w:rsidR="008F4574" w:rsidRPr="00B003FF" w:rsidRDefault="008F4574">
      <w:pPr>
        <w:rPr>
          <w:rFonts w:eastAsia="Calibri"/>
        </w:rPr>
      </w:pPr>
    </w:p>
    <w:sectPr w:rsidR="008F4574" w:rsidRPr="00B003FF">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18F0C" w14:textId="77777777" w:rsidR="00A70EA7" w:rsidRDefault="00A70EA7" w:rsidP="00B003FF">
      <w:r>
        <w:separator/>
      </w:r>
    </w:p>
  </w:endnote>
  <w:endnote w:type="continuationSeparator" w:id="0">
    <w:p w14:paraId="3A089B4B" w14:textId="77777777" w:rsidR="00A70EA7" w:rsidRDefault="00A70EA7" w:rsidP="00B003FF">
      <w:r>
        <w:continuationSeparator/>
      </w:r>
    </w:p>
  </w:endnote>
  <w:endnote w:type="continuationNotice" w:id="1">
    <w:p w14:paraId="15209A8A" w14:textId="77777777" w:rsidR="00A70EA7" w:rsidRDefault="00A70E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altName w:val="Century Gothic"/>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3210088"/>
      <w:docPartObj>
        <w:docPartGallery w:val="Page Numbers (Bottom of Page)"/>
        <w:docPartUnique/>
      </w:docPartObj>
    </w:sdtPr>
    <w:sdtEndPr/>
    <w:sdtContent>
      <w:p w14:paraId="36DC10CF" w14:textId="6C6B4045" w:rsidR="008C4B10" w:rsidRDefault="008C4B10">
        <w:pPr>
          <w:pStyle w:val="Jalus"/>
          <w:jc w:val="center"/>
        </w:pPr>
        <w:r>
          <w:fldChar w:fldCharType="begin"/>
        </w:r>
        <w:r>
          <w:instrText>PAGE   \* MERGEFORMAT</w:instrText>
        </w:r>
        <w:r>
          <w:fldChar w:fldCharType="separate"/>
        </w:r>
        <w:r>
          <w:t>2</w:t>
        </w:r>
        <w:r>
          <w:fldChar w:fldCharType="end"/>
        </w:r>
      </w:p>
    </w:sdtContent>
  </w:sdt>
  <w:p w14:paraId="5940E8FE" w14:textId="77777777" w:rsidR="008C4B10" w:rsidRDefault="008C4B1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AA170" w14:textId="77777777" w:rsidR="00A70EA7" w:rsidRDefault="00A70EA7" w:rsidP="00B003FF">
      <w:r>
        <w:separator/>
      </w:r>
    </w:p>
  </w:footnote>
  <w:footnote w:type="continuationSeparator" w:id="0">
    <w:p w14:paraId="648E57FD" w14:textId="77777777" w:rsidR="00A70EA7" w:rsidRDefault="00A70EA7" w:rsidP="00B003FF">
      <w:r>
        <w:continuationSeparator/>
      </w:r>
    </w:p>
  </w:footnote>
  <w:footnote w:type="continuationNotice" w:id="1">
    <w:p w14:paraId="7D804442" w14:textId="77777777" w:rsidR="00A70EA7" w:rsidRDefault="00A70EA7"/>
  </w:footnote>
  <w:footnote w:id="2">
    <w:p w14:paraId="224C0DD9" w14:textId="77777777" w:rsidR="002E3F32" w:rsidRDefault="002E3F32" w:rsidP="00BE0BD7">
      <w:pPr>
        <w:pStyle w:val="Allmrkusetekst"/>
        <w:rPr>
          <w:rFonts w:cs="Arial"/>
          <w:sz w:val="16"/>
          <w:szCs w:val="16"/>
        </w:rPr>
      </w:pPr>
      <w:r>
        <w:rPr>
          <w:rStyle w:val="Allmrkuseviide"/>
          <w:rFonts w:cs="Arial"/>
          <w:sz w:val="16"/>
          <w:szCs w:val="16"/>
        </w:rPr>
        <w:footnoteRef/>
      </w:r>
      <w:r>
        <w:rPr>
          <w:rFonts w:cs="Arial"/>
          <w:sz w:val="16"/>
          <w:szCs w:val="16"/>
        </w:rPr>
        <w:t xml:space="preserve"> </w:t>
      </w:r>
      <w:hyperlink r:id="rId1" w:history="1">
        <w:r>
          <w:rPr>
            <w:rStyle w:val="Hperlink"/>
            <w:rFonts w:cs="Arial"/>
            <w:sz w:val="16"/>
            <w:szCs w:val="16"/>
          </w:rPr>
          <w:t>RT I, 22.05.2025, 8</w:t>
        </w:r>
      </w:hyperlink>
    </w:p>
  </w:footnote>
  <w:footnote w:id="3">
    <w:p w14:paraId="5ABC078F" w14:textId="77777777" w:rsidR="002E3F32" w:rsidRDefault="002E3F32" w:rsidP="00BE0BD7">
      <w:pPr>
        <w:pStyle w:val="Allmrkusetekst"/>
        <w:rPr>
          <w:rFonts w:cs="Arial"/>
          <w:sz w:val="16"/>
          <w:szCs w:val="16"/>
        </w:rPr>
      </w:pPr>
      <w:r>
        <w:rPr>
          <w:rStyle w:val="Allmrkuseviide"/>
          <w:rFonts w:cs="Arial"/>
          <w:sz w:val="16"/>
          <w:szCs w:val="16"/>
        </w:rPr>
        <w:footnoteRef/>
      </w:r>
      <w:r>
        <w:rPr>
          <w:rFonts w:cs="Arial"/>
          <w:sz w:val="16"/>
          <w:szCs w:val="16"/>
        </w:rPr>
        <w:t xml:space="preserve"> </w:t>
      </w:r>
      <w:hyperlink r:id="rId2" w:history="1">
        <w:r>
          <w:rPr>
            <w:rStyle w:val="Hperlink"/>
            <w:rFonts w:cs="Arial"/>
            <w:sz w:val="16"/>
            <w:szCs w:val="16"/>
          </w:rPr>
          <w:t>Halduskoormuse tasakaalustamise reegli rakendamise juhis</w:t>
        </w:r>
      </w:hyperlink>
    </w:p>
  </w:footnote>
  <w:footnote w:id="4">
    <w:p w14:paraId="5D4CB0CA" w14:textId="77777777" w:rsidR="002E3F32" w:rsidRDefault="002E3F32" w:rsidP="00BE0BD7">
      <w:pPr>
        <w:pStyle w:val="Allmrkusetekst"/>
        <w:rPr>
          <w:rFonts w:cs="Arial"/>
          <w:sz w:val="16"/>
          <w:szCs w:val="16"/>
        </w:rPr>
      </w:pPr>
      <w:r>
        <w:rPr>
          <w:rStyle w:val="Allmrkuseviide"/>
          <w:rFonts w:cs="Arial"/>
          <w:sz w:val="16"/>
          <w:szCs w:val="16"/>
        </w:rPr>
        <w:footnoteRef/>
      </w:r>
      <w:r>
        <w:rPr>
          <w:rFonts w:cs="Arial"/>
          <w:sz w:val="16"/>
          <w:szCs w:val="16"/>
        </w:rPr>
        <w:t xml:space="preserve"> </w:t>
      </w:r>
      <w:hyperlink r:id="rId3" w:history="1">
        <w:r>
          <w:rPr>
            <w:rStyle w:val="Hperlink"/>
            <w:rFonts w:cs="Arial"/>
            <w:sz w:val="16"/>
            <w:szCs w:val="16"/>
          </w:rPr>
          <w:t>RT I, 08.07.2025, 9</w:t>
        </w:r>
      </w:hyperlink>
    </w:p>
  </w:footnote>
  <w:footnote w:id="5">
    <w:p w14:paraId="622715AA" w14:textId="77777777" w:rsidR="002E3F32" w:rsidRDefault="002E3F32" w:rsidP="00BE0BD7">
      <w:pPr>
        <w:pStyle w:val="Allmrkusetekst"/>
        <w:rPr>
          <w:rFonts w:cs="Arial"/>
          <w:sz w:val="16"/>
          <w:szCs w:val="16"/>
        </w:rPr>
      </w:pPr>
      <w:r>
        <w:rPr>
          <w:rStyle w:val="Allmrkuseviide"/>
          <w:rFonts w:cs="Arial"/>
          <w:sz w:val="16"/>
          <w:szCs w:val="16"/>
        </w:rPr>
        <w:footnoteRef/>
      </w:r>
      <w:r>
        <w:rPr>
          <w:rFonts w:cs="Arial"/>
          <w:sz w:val="16"/>
          <w:szCs w:val="16"/>
        </w:rPr>
        <w:t xml:space="preserve"> </w:t>
      </w:r>
      <w:hyperlink r:id="rId4" w:history="1">
        <w:r>
          <w:rPr>
            <w:rStyle w:val="Hperlink"/>
            <w:rFonts w:cs="Arial"/>
            <w:sz w:val="16"/>
            <w:szCs w:val="16"/>
          </w:rPr>
          <w:t>RT I, 05.07.2025, 9</w:t>
        </w:r>
      </w:hyperlink>
    </w:p>
  </w:footnote>
  <w:footnote w:id="6">
    <w:p w14:paraId="10770FB9" w14:textId="77777777" w:rsidR="002E3F32" w:rsidRDefault="002E3F32" w:rsidP="00BE0BD7">
      <w:pPr>
        <w:pStyle w:val="Allmrkusetekst"/>
        <w:rPr>
          <w:rFonts w:cs="Arial"/>
          <w:sz w:val="16"/>
          <w:szCs w:val="16"/>
        </w:rPr>
      </w:pPr>
      <w:r>
        <w:rPr>
          <w:rStyle w:val="Allmrkuseviide"/>
          <w:rFonts w:cs="Arial"/>
          <w:sz w:val="16"/>
          <w:szCs w:val="16"/>
        </w:rPr>
        <w:footnoteRef/>
      </w:r>
      <w:r>
        <w:rPr>
          <w:rFonts w:cs="Arial"/>
          <w:sz w:val="16"/>
          <w:szCs w:val="16"/>
        </w:rPr>
        <w:t xml:space="preserve"> Euroopa Parlamendi ja nõukogu 24. aprilli 2024. aasta direktiiv (EL) </w:t>
      </w:r>
      <w:hyperlink r:id="rId5" w:history="1">
        <w:r>
          <w:rPr>
            <w:rStyle w:val="Hperlink"/>
            <w:rFonts w:cs="Arial"/>
            <w:sz w:val="16"/>
            <w:szCs w:val="16"/>
          </w:rPr>
          <w:t>2024/1233</w:t>
        </w:r>
      </w:hyperlink>
      <w:r>
        <w:rPr>
          <w:rFonts w:cs="Arial"/>
          <w:sz w:val="16"/>
          <w:szCs w:val="16"/>
        </w:rPr>
        <w:t>, mis käsitleb kolmanda riigi kodanikele liikmesriigis elamist ja töötamist võimaldava ühtse loa taotluse menetlust ning liikmesriigis seaduslikult elavate kolmandast riigist pärit töötajatele ühtetaolisi õigusi.</w:t>
      </w:r>
    </w:p>
  </w:footnote>
  <w:footnote w:id="7">
    <w:p w14:paraId="42A2F470" w14:textId="77777777" w:rsidR="002E3F32" w:rsidRDefault="002E3F32" w:rsidP="00BE0BD7">
      <w:pPr>
        <w:pStyle w:val="Allmrkusetekst"/>
        <w:rPr>
          <w:rFonts w:cs="Arial"/>
          <w:sz w:val="16"/>
          <w:szCs w:val="16"/>
        </w:rPr>
      </w:pPr>
      <w:r>
        <w:rPr>
          <w:rStyle w:val="Allmrkuseviide"/>
          <w:rFonts w:cs="Arial"/>
          <w:sz w:val="16"/>
          <w:szCs w:val="16"/>
        </w:rPr>
        <w:footnoteRef/>
      </w:r>
      <w:r>
        <w:rPr>
          <w:rFonts w:cs="Arial"/>
          <w:sz w:val="16"/>
          <w:szCs w:val="16"/>
        </w:rPr>
        <w:t xml:space="preserve"> Euroopa Parlamendi ja nõukogu 18. juuni 2009. aasta direktiiv </w:t>
      </w:r>
      <w:hyperlink r:id="rId6" w:history="1">
        <w:r>
          <w:rPr>
            <w:rStyle w:val="Hperlink"/>
            <w:rFonts w:cs="Arial"/>
            <w:sz w:val="16"/>
            <w:szCs w:val="16"/>
          </w:rPr>
          <w:t>2009/52/EP</w:t>
        </w:r>
      </w:hyperlink>
      <w:r>
        <w:rPr>
          <w:rFonts w:cs="Arial"/>
          <w:sz w:val="16"/>
          <w:szCs w:val="16"/>
        </w:rPr>
        <w:t>, millega sätestatakse ebaseaduslikult riigis viibivate kolmandate riikide kodanike tööandjatele kohaldatavate karistuste ja meetmete miinimumnõuded.</w:t>
      </w:r>
    </w:p>
  </w:footnote>
  <w:footnote w:id="8">
    <w:p w14:paraId="3FB88666" w14:textId="77777777" w:rsidR="002E3F32" w:rsidRDefault="002E3F32" w:rsidP="00BE0BD7">
      <w:pPr>
        <w:pStyle w:val="Allmrkusetekst"/>
        <w:rPr>
          <w:rFonts w:cs="Arial"/>
          <w:sz w:val="16"/>
          <w:szCs w:val="16"/>
        </w:rPr>
      </w:pPr>
      <w:r>
        <w:rPr>
          <w:rStyle w:val="Allmrkuseviide"/>
          <w:rFonts w:cs="Arial"/>
          <w:sz w:val="16"/>
          <w:szCs w:val="16"/>
        </w:rPr>
        <w:footnoteRef/>
      </w:r>
      <w:r>
        <w:rPr>
          <w:rFonts w:cs="Arial"/>
          <w:sz w:val="16"/>
          <w:szCs w:val="16"/>
        </w:rPr>
        <w:t xml:space="preserve"> </w:t>
      </w:r>
      <w:hyperlink r:id="rId7" w:anchor="para47" w:history="1">
        <w:r>
          <w:rPr>
            <w:rStyle w:val="Hperlink"/>
            <w:rFonts w:cs="Arial"/>
            <w:sz w:val="16"/>
            <w:szCs w:val="16"/>
          </w:rPr>
          <w:t>KarS</w:t>
        </w:r>
      </w:hyperlink>
      <w:r>
        <w:rPr>
          <w:rFonts w:cs="Arial"/>
          <w:sz w:val="16"/>
          <w:szCs w:val="16"/>
        </w:rPr>
        <w:t xml:space="preserve"> § 47 lg 1: [---]Trahviühik on rahatrahvi baassumma, mille suurus on 8 eurot.</w:t>
      </w:r>
    </w:p>
  </w:footnote>
  <w:footnote w:id="9">
    <w:p w14:paraId="52067F5F" w14:textId="77777777" w:rsidR="002E3F32" w:rsidRDefault="002E3F32" w:rsidP="00BE0BD7">
      <w:pPr>
        <w:pStyle w:val="Allmrkusetekst"/>
        <w:rPr>
          <w:rFonts w:cs="Arial"/>
          <w:sz w:val="16"/>
          <w:szCs w:val="16"/>
        </w:rPr>
      </w:pPr>
      <w:r>
        <w:rPr>
          <w:rStyle w:val="Allmrkuseviide"/>
          <w:rFonts w:cs="Arial"/>
          <w:sz w:val="16"/>
          <w:szCs w:val="16"/>
        </w:rPr>
        <w:footnoteRef/>
      </w:r>
      <w:r>
        <w:rPr>
          <w:rFonts w:cs="Arial"/>
          <w:sz w:val="16"/>
          <w:szCs w:val="16"/>
        </w:rPr>
        <w:t xml:space="preserve"> Vt näiteks </w:t>
      </w:r>
      <w:hyperlink r:id="rId8" w:anchor="para105b2" w:history="1">
        <w:r>
          <w:rPr>
            <w:rStyle w:val="Hperlink"/>
            <w:rFonts w:cs="Arial"/>
            <w:sz w:val="16"/>
            <w:szCs w:val="16"/>
          </w:rPr>
          <w:t>vangistusseaduse</w:t>
        </w:r>
      </w:hyperlink>
      <w:r>
        <w:rPr>
          <w:rFonts w:cs="Arial"/>
          <w:sz w:val="16"/>
          <w:szCs w:val="16"/>
        </w:rPr>
        <w:t xml:space="preserve"> § 105</w:t>
      </w:r>
      <w:r>
        <w:rPr>
          <w:rFonts w:cs="Arial"/>
          <w:sz w:val="16"/>
          <w:szCs w:val="16"/>
          <w:vertAlign w:val="superscript"/>
        </w:rPr>
        <w:t>2</w:t>
      </w:r>
      <w:r>
        <w:rPr>
          <w:rFonts w:cs="Arial"/>
          <w:sz w:val="16"/>
          <w:szCs w:val="16"/>
        </w:rPr>
        <w:t xml:space="preserve">; </w:t>
      </w:r>
      <w:hyperlink r:id="rId9" w:anchor="para41b1" w:history="1">
        <w:r>
          <w:rPr>
            <w:rStyle w:val="Hperlink"/>
            <w:rFonts w:cs="Arial"/>
            <w:sz w:val="16"/>
            <w:szCs w:val="16"/>
          </w:rPr>
          <w:t>hädaolukorra seaduse</w:t>
        </w:r>
      </w:hyperlink>
      <w:r>
        <w:rPr>
          <w:rFonts w:cs="Arial"/>
          <w:sz w:val="16"/>
          <w:szCs w:val="16"/>
        </w:rPr>
        <w:t xml:space="preserve"> § 41</w:t>
      </w:r>
      <w:r>
        <w:rPr>
          <w:rFonts w:cs="Arial"/>
          <w:sz w:val="16"/>
          <w:szCs w:val="16"/>
          <w:vertAlign w:val="superscript"/>
        </w:rPr>
        <w:t>1</w:t>
      </w:r>
      <w:r>
        <w:rPr>
          <w:rFonts w:cs="Arial"/>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614E04"/>
    <w:multiLevelType w:val="multilevel"/>
    <w:tmpl w:val="E3C0E526"/>
    <w:styleLink w:val="Praeguneloend1"/>
    <w:lvl w:ilvl="0">
      <w:start w:val="1"/>
      <w:numFmt w:val="decimal"/>
      <w:lvlText w:val="%1."/>
      <w:lvlJc w:val="left"/>
      <w:pPr>
        <w:ind w:left="720" w:hanging="360"/>
      </w:pPr>
      <w:rPr>
        <w:rFonts w:ascii="Times New Roman" w:eastAsiaTheme="minorEastAsia"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7253630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3FF"/>
    <w:rsid w:val="00002294"/>
    <w:rsid w:val="00002EBD"/>
    <w:rsid w:val="00004C39"/>
    <w:rsid w:val="00004FD4"/>
    <w:rsid w:val="00005139"/>
    <w:rsid w:val="00005C18"/>
    <w:rsid w:val="00005D3B"/>
    <w:rsid w:val="00012A92"/>
    <w:rsid w:val="000153A3"/>
    <w:rsid w:val="00015699"/>
    <w:rsid w:val="00017030"/>
    <w:rsid w:val="00017A9B"/>
    <w:rsid w:val="00020F61"/>
    <w:rsid w:val="00023FB6"/>
    <w:rsid w:val="0002483F"/>
    <w:rsid w:val="00025E0D"/>
    <w:rsid w:val="0002723E"/>
    <w:rsid w:val="00027785"/>
    <w:rsid w:val="00027B7A"/>
    <w:rsid w:val="000300A2"/>
    <w:rsid w:val="00030B07"/>
    <w:rsid w:val="000313E6"/>
    <w:rsid w:val="000422EA"/>
    <w:rsid w:val="00044D42"/>
    <w:rsid w:val="0004547B"/>
    <w:rsid w:val="00046F94"/>
    <w:rsid w:val="00047ED3"/>
    <w:rsid w:val="00050430"/>
    <w:rsid w:val="00053891"/>
    <w:rsid w:val="00057674"/>
    <w:rsid w:val="00060E78"/>
    <w:rsid w:val="000622BD"/>
    <w:rsid w:val="0006279B"/>
    <w:rsid w:val="00062B1D"/>
    <w:rsid w:val="00065B9C"/>
    <w:rsid w:val="0007076D"/>
    <w:rsid w:val="00075261"/>
    <w:rsid w:val="00077989"/>
    <w:rsid w:val="000910D6"/>
    <w:rsid w:val="000954B9"/>
    <w:rsid w:val="000954C4"/>
    <w:rsid w:val="000968C6"/>
    <w:rsid w:val="000A03AF"/>
    <w:rsid w:val="000A446F"/>
    <w:rsid w:val="000A6C54"/>
    <w:rsid w:val="000B586F"/>
    <w:rsid w:val="000B5FE8"/>
    <w:rsid w:val="000B63B5"/>
    <w:rsid w:val="000C0700"/>
    <w:rsid w:val="000C4A43"/>
    <w:rsid w:val="000C5D23"/>
    <w:rsid w:val="000D00DD"/>
    <w:rsid w:val="000D34CB"/>
    <w:rsid w:val="000D38BE"/>
    <w:rsid w:val="000D50EC"/>
    <w:rsid w:val="000D674A"/>
    <w:rsid w:val="000D7136"/>
    <w:rsid w:val="000E0D3F"/>
    <w:rsid w:val="000E12E2"/>
    <w:rsid w:val="000E434B"/>
    <w:rsid w:val="000E58F0"/>
    <w:rsid w:val="000E6D52"/>
    <w:rsid w:val="000E7F06"/>
    <w:rsid w:val="000F0200"/>
    <w:rsid w:val="000F030B"/>
    <w:rsid w:val="000F252B"/>
    <w:rsid w:val="000F3533"/>
    <w:rsid w:val="000F36E0"/>
    <w:rsid w:val="000F61BE"/>
    <w:rsid w:val="0010089B"/>
    <w:rsid w:val="00101025"/>
    <w:rsid w:val="00101515"/>
    <w:rsid w:val="00102B99"/>
    <w:rsid w:val="00105717"/>
    <w:rsid w:val="001077B1"/>
    <w:rsid w:val="00115C23"/>
    <w:rsid w:val="00117E5D"/>
    <w:rsid w:val="00120A71"/>
    <w:rsid w:val="0012117D"/>
    <w:rsid w:val="001239D6"/>
    <w:rsid w:val="00124F87"/>
    <w:rsid w:val="00126A3A"/>
    <w:rsid w:val="00126B7B"/>
    <w:rsid w:val="00126ED3"/>
    <w:rsid w:val="00134F85"/>
    <w:rsid w:val="0014082B"/>
    <w:rsid w:val="001431F3"/>
    <w:rsid w:val="00147819"/>
    <w:rsid w:val="0015173C"/>
    <w:rsid w:val="001555BD"/>
    <w:rsid w:val="00156F62"/>
    <w:rsid w:val="00162F6B"/>
    <w:rsid w:val="0016412F"/>
    <w:rsid w:val="001719DD"/>
    <w:rsid w:val="00171FB8"/>
    <w:rsid w:val="0017353F"/>
    <w:rsid w:val="00173CD8"/>
    <w:rsid w:val="00173D7C"/>
    <w:rsid w:val="00175590"/>
    <w:rsid w:val="001818D8"/>
    <w:rsid w:val="00182CAC"/>
    <w:rsid w:val="001854C3"/>
    <w:rsid w:val="00187987"/>
    <w:rsid w:val="00190923"/>
    <w:rsid w:val="00197413"/>
    <w:rsid w:val="001A5144"/>
    <w:rsid w:val="001B28CF"/>
    <w:rsid w:val="001C2CDF"/>
    <w:rsid w:val="001C550B"/>
    <w:rsid w:val="001C5A6A"/>
    <w:rsid w:val="001C68C5"/>
    <w:rsid w:val="001C6D60"/>
    <w:rsid w:val="001D1BA4"/>
    <w:rsid w:val="001D53E4"/>
    <w:rsid w:val="001D5840"/>
    <w:rsid w:val="001E0EE9"/>
    <w:rsid w:val="001E34A2"/>
    <w:rsid w:val="001E4A00"/>
    <w:rsid w:val="001F23B7"/>
    <w:rsid w:val="001F4247"/>
    <w:rsid w:val="001F6920"/>
    <w:rsid w:val="00200CF0"/>
    <w:rsid w:val="002017FD"/>
    <w:rsid w:val="00202E33"/>
    <w:rsid w:val="0020305E"/>
    <w:rsid w:val="00203782"/>
    <w:rsid w:val="002103E0"/>
    <w:rsid w:val="00212BFC"/>
    <w:rsid w:val="00212F65"/>
    <w:rsid w:val="00215180"/>
    <w:rsid w:val="00215866"/>
    <w:rsid w:val="00215E8D"/>
    <w:rsid w:val="00222E62"/>
    <w:rsid w:val="002232BA"/>
    <w:rsid w:val="0022428B"/>
    <w:rsid w:val="00225392"/>
    <w:rsid w:val="00241246"/>
    <w:rsid w:val="00242B26"/>
    <w:rsid w:val="0024605F"/>
    <w:rsid w:val="002534AC"/>
    <w:rsid w:val="002562EB"/>
    <w:rsid w:val="00261871"/>
    <w:rsid w:val="00263554"/>
    <w:rsid w:val="002655D6"/>
    <w:rsid w:val="0026732F"/>
    <w:rsid w:val="002723D3"/>
    <w:rsid w:val="002730F2"/>
    <w:rsid w:val="00274254"/>
    <w:rsid w:val="00275F6A"/>
    <w:rsid w:val="00276FAE"/>
    <w:rsid w:val="0028084F"/>
    <w:rsid w:val="002824A4"/>
    <w:rsid w:val="00283197"/>
    <w:rsid w:val="00285AEF"/>
    <w:rsid w:val="00286893"/>
    <w:rsid w:val="00290BD0"/>
    <w:rsid w:val="002913AB"/>
    <w:rsid w:val="00291E4E"/>
    <w:rsid w:val="00292B2A"/>
    <w:rsid w:val="00294ADA"/>
    <w:rsid w:val="002965DD"/>
    <w:rsid w:val="002A04A8"/>
    <w:rsid w:val="002A17FD"/>
    <w:rsid w:val="002A582C"/>
    <w:rsid w:val="002B10C0"/>
    <w:rsid w:val="002B33E0"/>
    <w:rsid w:val="002B3409"/>
    <w:rsid w:val="002C09E1"/>
    <w:rsid w:val="002C359D"/>
    <w:rsid w:val="002C4567"/>
    <w:rsid w:val="002C4725"/>
    <w:rsid w:val="002C68B5"/>
    <w:rsid w:val="002C747F"/>
    <w:rsid w:val="002D1921"/>
    <w:rsid w:val="002D1C0A"/>
    <w:rsid w:val="002D2B15"/>
    <w:rsid w:val="002D6038"/>
    <w:rsid w:val="002D69F6"/>
    <w:rsid w:val="002D6B3A"/>
    <w:rsid w:val="002D743A"/>
    <w:rsid w:val="002D7B2F"/>
    <w:rsid w:val="002E13B0"/>
    <w:rsid w:val="002E2BAD"/>
    <w:rsid w:val="002E39BA"/>
    <w:rsid w:val="002E3C94"/>
    <w:rsid w:val="002E3D92"/>
    <w:rsid w:val="002E3F32"/>
    <w:rsid w:val="002E4916"/>
    <w:rsid w:val="002E500B"/>
    <w:rsid w:val="002F4B05"/>
    <w:rsid w:val="002F5F87"/>
    <w:rsid w:val="002F6AC5"/>
    <w:rsid w:val="00300577"/>
    <w:rsid w:val="00301ED3"/>
    <w:rsid w:val="0030377D"/>
    <w:rsid w:val="00305C78"/>
    <w:rsid w:val="00306B6D"/>
    <w:rsid w:val="0030713A"/>
    <w:rsid w:val="00307256"/>
    <w:rsid w:val="00311D68"/>
    <w:rsid w:val="003121B2"/>
    <w:rsid w:val="003150E4"/>
    <w:rsid w:val="003175B2"/>
    <w:rsid w:val="00320EC1"/>
    <w:rsid w:val="003225D0"/>
    <w:rsid w:val="003237E0"/>
    <w:rsid w:val="003275CA"/>
    <w:rsid w:val="003313B9"/>
    <w:rsid w:val="00332380"/>
    <w:rsid w:val="003346CC"/>
    <w:rsid w:val="00334EA5"/>
    <w:rsid w:val="00341972"/>
    <w:rsid w:val="00342691"/>
    <w:rsid w:val="00342D18"/>
    <w:rsid w:val="00345C76"/>
    <w:rsid w:val="00345CA4"/>
    <w:rsid w:val="0034634E"/>
    <w:rsid w:val="00347F6F"/>
    <w:rsid w:val="0035280B"/>
    <w:rsid w:val="00352FC3"/>
    <w:rsid w:val="00353761"/>
    <w:rsid w:val="00355D8C"/>
    <w:rsid w:val="0035657D"/>
    <w:rsid w:val="003565FA"/>
    <w:rsid w:val="00356FF7"/>
    <w:rsid w:val="00363865"/>
    <w:rsid w:val="00365F15"/>
    <w:rsid w:val="003661C6"/>
    <w:rsid w:val="00366D54"/>
    <w:rsid w:val="00372601"/>
    <w:rsid w:val="00372A87"/>
    <w:rsid w:val="00372C27"/>
    <w:rsid w:val="0037573D"/>
    <w:rsid w:val="0037591B"/>
    <w:rsid w:val="0037630A"/>
    <w:rsid w:val="003800C6"/>
    <w:rsid w:val="00380AF5"/>
    <w:rsid w:val="00384C5B"/>
    <w:rsid w:val="00385D48"/>
    <w:rsid w:val="00385EF7"/>
    <w:rsid w:val="00386DB6"/>
    <w:rsid w:val="003917FB"/>
    <w:rsid w:val="00392A63"/>
    <w:rsid w:val="00392E4E"/>
    <w:rsid w:val="003937F1"/>
    <w:rsid w:val="00393ECC"/>
    <w:rsid w:val="003A081C"/>
    <w:rsid w:val="003A0C6C"/>
    <w:rsid w:val="003A4762"/>
    <w:rsid w:val="003A6CB9"/>
    <w:rsid w:val="003A728E"/>
    <w:rsid w:val="003C22D4"/>
    <w:rsid w:val="003C3A20"/>
    <w:rsid w:val="003C6C10"/>
    <w:rsid w:val="003C75EF"/>
    <w:rsid w:val="003C7BD6"/>
    <w:rsid w:val="003D2BF1"/>
    <w:rsid w:val="003D5CE2"/>
    <w:rsid w:val="003D631F"/>
    <w:rsid w:val="003D67C2"/>
    <w:rsid w:val="003E1551"/>
    <w:rsid w:val="003E27CE"/>
    <w:rsid w:val="003F0DEB"/>
    <w:rsid w:val="003F585E"/>
    <w:rsid w:val="003F6B23"/>
    <w:rsid w:val="003F76AF"/>
    <w:rsid w:val="00400FE1"/>
    <w:rsid w:val="00405A5D"/>
    <w:rsid w:val="0040716C"/>
    <w:rsid w:val="00410462"/>
    <w:rsid w:val="00410D46"/>
    <w:rsid w:val="00413E81"/>
    <w:rsid w:val="004141BA"/>
    <w:rsid w:val="0041528C"/>
    <w:rsid w:val="00415EBA"/>
    <w:rsid w:val="004179A1"/>
    <w:rsid w:val="00417EBB"/>
    <w:rsid w:val="004249DE"/>
    <w:rsid w:val="00427300"/>
    <w:rsid w:val="00430493"/>
    <w:rsid w:val="004326F3"/>
    <w:rsid w:val="0043456E"/>
    <w:rsid w:val="00440941"/>
    <w:rsid w:val="00443F87"/>
    <w:rsid w:val="004452B0"/>
    <w:rsid w:val="00445EDF"/>
    <w:rsid w:val="00446A0C"/>
    <w:rsid w:val="00451B1B"/>
    <w:rsid w:val="00451BB2"/>
    <w:rsid w:val="004525A5"/>
    <w:rsid w:val="00456AD9"/>
    <w:rsid w:val="00460FB1"/>
    <w:rsid w:val="004655B8"/>
    <w:rsid w:val="0047320A"/>
    <w:rsid w:val="00475E64"/>
    <w:rsid w:val="00476294"/>
    <w:rsid w:val="00476A5F"/>
    <w:rsid w:val="00477753"/>
    <w:rsid w:val="004801C5"/>
    <w:rsid w:val="004836E4"/>
    <w:rsid w:val="004848C3"/>
    <w:rsid w:val="00486CC1"/>
    <w:rsid w:val="00490518"/>
    <w:rsid w:val="00490B4E"/>
    <w:rsid w:val="00491E65"/>
    <w:rsid w:val="0049748E"/>
    <w:rsid w:val="004A30CA"/>
    <w:rsid w:val="004A3948"/>
    <w:rsid w:val="004A3B07"/>
    <w:rsid w:val="004A4AFF"/>
    <w:rsid w:val="004B1005"/>
    <w:rsid w:val="004B379E"/>
    <w:rsid w:val="004C081A"/>
    <w:rsid w:val="004C73D7"/>
    <w:rsid w:val="004D04CC"/>
    <w:rsid w:val="004D5659"/>
    <w:rsid w:val="004E1A80"/>
    <w:rsid w:val="004E5A75"/>
    <w:rsid w:val="004F0275"/>
    <w:rsid w:val="004F2E68"/>
    <w:rsid w:val="004F4FF2"/>
    <w:rsid w:val="00500155"/>
    <w:rsid w:val="0050026A"/>
    <w:rsid w:val="00500B0D"/>
    <w:rsid w:val="00502D56"/>
    <w:rsid w:val="00506747"/>
    <w:rsid w:val="00511D03"/>
    <w:rsid w:val="00513AEA"/>
    <w:rsid w:val="00514FAB"/>
    <w:rsid w:val="00516414"/>
    <w:rsid w:val="005226C3"/>
    <w:rsid w:val="00525CD6"/>
    <w:rsid w:val="00526102"/>
    <w:rsid w:val="0052631B"/>
    <w:rsid w:val="00527205"/>
    <w:rsid w:val="005303E3"/>
    <w:rsid w:val="00532879"/>
    <w:rsid w:val="00533591"/>
    <w:rsid w:val="00534E2C"/>
    <w:rsid w:val="00536BD8"/>
    <w:rsid w:val="005479F1"/>
    <w:rsid w:val="00547E24"/>
    <w:rsid w:val="00550BC0"/>
    <w:rsid w:val="0055480C"/>
    <w:rsid w:val="00554952"/>
    <w:rsid w:val="00556898"/>
    <w:rsid w:val="00557187"/>
    <w:rsid w:val="00557541"/>
    <w:rsid w:val="00557549"/>
    <w:rsid w:val="005629F2"/>
    <w:rsid w:val="00563A0D"/>
    <w:rsid w:val="00563FE6"/>
    <w:rsid w:val="00566E4B"/>
    <w:rsid w:val="00570A93"/>
    <w:rsid w:val="005716E7"/>
    <w:rsid w:val="00571975"/>
    <w:rsid w:val="00574D68"/>
    <w:rsid w:val="00576819"/>
    <w:rsid w:val="00581B74"/>
    <w:rsid w:val="00581FCD"/>
    <w:rsid w:val="00585A46"/>
    <w:rsid w:val="00590215"/>
    <w:rsid w:val="00590D84"/>
    <w:rsid w:val="00594676"/>
    <w:rsid w:val="005977C5"/>
    <w:rsid w:val="005A1CD3"/>
    <w:rsid w:val="005A322A"/>
    <w:rsid w:val="005A3630"/>
    <w:rsid w:val="005A4458"/>
    <w:rsid w:val="005A5B42"/>
    <w:rsid w:val="005A713D"/>
    <w:rsid w:val="005A778A"/>
    <w:rsid w:val="005B002E"/>
    <w:rsid w:val="005B2748"/>
    <w:rsid w:val="005B3D32"/>
    <w:rsid w:val="005B5744"/>
    <w:rsid w:val="005B6091"/>
    <w:rsid w:val="005B61D4"/>
    <w:rsid w:val="005B6589"/>
    <w:rsid w:val="005C0B89"/>
    <w:rsid w:val="005C16D2"/>
    <w:rsid w:val="005C27BF"/>
    <w:rsid w:val="005C28E6"/>
    <w:rsid w:val="005C3103"/>
    <w:rsid w:val="005C5CDF"/>
    <w:rsid w:val="005C624A"/>
    <w:rsid w:val="005D02DF"/>
    <w:rsid w:val="005D08F7"/>
    <w:rsid w:val="005D21FD"/>
    <w:rsid w:val="005D3782"/>
    <w:rsid w:val="005D6EA6"/>
    <w:rsid w:val="005E0433"/>
    <w:rsid w:val="005E0A94"/>
    <w:rsid w:val="005E0B68"/>
    <w:rsid w:val="005E131D"/>
    <w:rsid w:val="005E2868"/>
    <w:rsid w:val="005E2D66"/>
    <w:rsid w:val="005E4C55"/>
    <w:rsid w:val="005F03BA"/>
    <w:rsid w:val="005F1D8B"/>
    <w:rsid w:val="005F1FEF"/>
    <w:rsid w:val="005F28BE"/>
    <w:rsid w:val="005F3864"/>
    <w:rsid w:val="005F408C"/>
    <w:rsid w:val="005F6792"/>
    <w:rsid w:val="005F74F0"/>
    <w:rsid w:val="00601781"/>
    <w:rsid w:val="006058B5"/>
    <w:rsid w:val="00607848"/>
    <w:rsid w:val="00612E9C"/>
    <w:rsid w:val="00616536"/>
    <w:rsid w:val="006178C9"/>
    <w:rsid w:val="006221BA"/>
    <w:rsid w:val="00622BB0"/>
    <w:rsid w:val="00622BC8"/>
    <w:rsid w:val="0062673C"/>
    <w:rsid w:val="006308E2"/>
    <w:rsid w:val="006317B3"/>
    <w:rsid w:val="006410BE"/>
    <w:rsid w:val="00642C3A"/>
    <w:rsid w:val="00642CBC"/>
    <w:rsid w:val="00643BBC"/>
    <w:rsid w:val="00645286"/>
    <w:rsid w:val="0065102B"/>
    <w:rsid w:val="00653DE3"/>
    <w:rsid w:val="00654B0D"/>
    <w:rsid w:val="00654D34"/>
    <w:rsid w:val="0065526A"/>
    <w:rsid w:val="006570EC"/>
    <w:rsid w:val="006623C7"/>
    <w:rsid w:val="0066571F"/>
    <w:rsid w:val="0067144D"/>
    <w:rsid w:val="00672184"/>
    <w:rsid w:val="006739D7"/>
    <w:rsid w:val="00675437"/>
    <w:rsid w:val="0067625A"/>
    <w:rsid w:val="00676383"/>
    <w:rsid w:val="00684C77"/>
    <w:rsid w:val="00687C44"/>
    <w:rsid w:val="00687E34"/>
    <w:rsid w:val="00692250"/>
    <w:rsid w:val="00692453"/>
    <w:rsid w:val="006970FB"/>
    <w:rsid w:val="006A1ABB"/>
    <w:rsid w:val="006A4C41"/>
    <w:rsid w:val="006A6B63"/>
    <w:rsid w:val="006B1C50"/>
    <w:rsid w:val="006B518E"/>
    <w:rsid w:val="006B60D7"/>
    <w:rsid w:val="006B626D"/>
    <w:rsid w:val="006B665F"/>
    <w:rsid w:val="006B6F55"/>
    <w:rsid w:val="006B764B"/>
    <w:rsid w:val="006C0FA9"/>
    <w:rsid w:val="006C44A0"/>
    <w:rsid w:val="006C48E6"/>
    <w:rsid w:val="006C633A"/>
    <w:rsid w:val="006C6B32"/>
    <w:rsid w:val="006C6D7D"/>
    <w:rsid w:val="006C7336"/>
    <w:rsid w:val="006D005D"/>
    <w:rsid w:val="006D0999"/>
    <w:rsid w:val="006D6878"/>
    <w:rsid w:val="006D6B42"/>
    <w:rsid w:val="006D6EDC"/>
    <w:rsid w:val="006E2840"/>
    <w:rsid w:val="006E2CF5"/>
    <w:rsid w:val="006E631C"/>
    <w:rsid w:val="006E6678"/>
    <w:rsid w:val="006E6F78"/>
    <w:rsid w:val="006F3B70"/>
    <w:rsid w:val="006F4F4F"/>
    <w:rsid w:val="006F69A3"/>
    <w:rsid w:val="007022DF"/>
    <w:rsid w:val="007060E9"/>
    <w:rsid w:val="007116DD"/>
    <w:rsid w:val="00715E0E"/>
    <w:rsid w:val="0072026A"/>
    <w:rsid w:val="0072297B"/>
    <w:rsid w:val="00724824"/>
    <w:rsid w:val="00724F01"/>
    <w:rsid w:val="00725FFB"/>
    <w:rsid w:val="00727D8D"/>
    <w:rsid w:val="0073146D"/>
    <w:rsid w:val="007328CE"/>
    <w:rsid w:val="007355DD"/>
    <w:rsid w:val="00736998"/>
    <w:rsid w:val="00740D50"/>
    <w:rsid w:val="00742184"/>
    <w:rsid w:val="00743401"/>
    <w:rsid w:val="00745D78"/>
    <w:rsid w:val="00745D7B"/>
    <w:rsid w:val="00750335"/>
    <w:rsid w:val="00751B97"/>
    <w:rsid w:val="0075206B"/>
    <w:rsid w:val="00753A96"/>
    <w:rsid w:val="00754542"/>
    <w:rsid w:val="007604B0"/>
    <w:rsid w:val="00760513"/>
    <w:rsid w:val="0076064B"/>
    <w:rsid w:val="007639AF"/>
    <w:rsid w:val="00763C56"/>
    <w:rsid w:val="0076438E"/>
    <w:rsid w:val="00764B20"/>
    <w:rsid w:val="00770745"/>
    <w:rsid w:val="007712F5"/>
    <w:rsid w:val="007749F4"/>
    <w:rsid w:val="00776038"/>
    <w:rsid w:val="00776929"/>
    <w:rsid w:val="0078318B"/>
    <w:rsid w:val="007845C6"/>
    <w:rsid w:val="007909D1"/>
    <w:rsid w:val="00790BEA"/>
    <w:rsid w:val="00790CB2"/>
    <w:rsid w:val="00791359"/>
    <w:rsid w:val="00793458"/>
    <w:rsid w:val="00794B17"/>
    <w:rsid w:val="007966D7"/>
    <w:rsid w:val="007A0157"/>
    <w:rsid w:val="007A1A7F"/>
    <w:rsid w:val="007A2AC4"/>
    <w:rsid w:val="007A56DC"/>
    <w:rsid w:val="007B32C9"/>
    <w:rsid w:val="007B5066"/>
    <w:rsid w:val="007B53ED"/>
    <w:rsid w:val="007B6B88"/>
    <w:rsid w:val="007B6C9C"/>
    <w:rsid w:val="007C0078"/>
    <w:rsid w:val="007C0B47"/>
    <w:rsid w:val="007C265A"/>
    <w:rsid w:val="007C32B2"/>
    <w:rsid w:val="007C5651"/>
    <w:rsid w:val="007D3637"/>
    <w:rsid w:val="007D3DE4"/>
    <w:rsid w:val="007D3E84"/>
    <w:rsid w:val="007E2A84"/>
    <w:rsid w:val="007E3F35"/>
    <w:rsid w:val="007E75A2"/>
    <w:rsid w:val="007F3385"/>
    <w:rsid w:val="007F3B5E"/>
    <w:rsid w:val="007F3D7C"/>
    <w:rsid w:val="007F5E04"/>
    <w:rsid w:val="007F6228"/>
    <w:rsid w:val="00803182"/>
    <w:rsid w:val="00814ED5"/>
    <w:rsid w:val="00817101"/>
    <w:rsid w:val="00817582"/>
    <w:rsid w:val="008222D4"/>
    <w:rsid w:val="00822A99"/>
    <w:rsid w:val="00822AEC"/>
    <w:rsid w:val="008264F1"/>
    <w:rsid w:val="00826A51"/>
    <w:rsid w:val="00826BA1"/>
    <w:rsid w:val="00831ED4"/>
    <w:rsid w:val="00832294"/>
    <w:rsid w:val="00835492"/>
    <w:rsid w:val="0084018A"/>
    <w:rsid w:val="008404A5"/>
    <w:rsid w:val="00841CD6"/>
    <w:rsid w:val="008442D9"/>
    <w:rsid w:val="00845C99"/>
    <w:rsid w:val="00851FF7"/>
    <w:rsid w:val="0085267C"/>
    <w:rsid w:val="00856F52"/>
    <w:rsid w:val="008629A2"/>
    <w:rsid w:val="0087104F"/>
    <w:rsid w:val="00871831"/>
    <w:rsid w:val="0087310C"/>
    <w:rsid w:val="00873A96"/>
    <w:rsid w:val="00875674"/>
    <w:rsid w:val="00881467"/>
    <w:rsid w:val="0088332A"/>
    <w:rsid w:val="00883959"/>
    <w:rsid w:val="00883ED0"/>
    <w:rsid w:val="0088428B"/>
    <w:rsid w:val="00887395"/>
    <w:rsid w:val="00890709"/>
    <w:rsid w:val="0089470C"/>
    <w:rsid w:val="008979F3"/>
    <w:rsid w:val="008A08B6"/>
    <w:rsid w:val="008A1953"/>
    <w:rsid w:val="008A302C"/>
    <w:rsid w:val="008A62FD"/>
    <w:rsid w:val="008A7D94"/>
    <w:rsid w:val="008B158C"/>
    <w:rsid w:val="008B1A42"/>
    <w:rsid w:val="008B1BDD"/>
    <w:rsid w:val="008B28D5"/>
    <w:rsid w:val="008B6169"/>
    <w:rsid w:val="008B7FB8"/>
    <w:rsid w:val="008C4B10"/>
    <w:rsid w:val="008C5319"/>
    <w:rsid w:val="008D01E6"/>
    <w:rsid w:val="008D1F1F"/>
    <w:rsid w:val="008D2666"/>
    <w:rsid w:val="008D46BC"/>
    <w:rsid w:val="008D740E"/>
    <w:rsid w:val="008E15E0"/>
    <w:rsid w:val="008E1FFF"/>
    <w:rsid w:val="008E3E9A"/>
    <w:rsid w:val="008E73FD"/>
    <w:rsid w:val="008F2A04"/>
    <w:rsid w:val="008F4574"/>
    <w:rsid w:val="008F5052"/>
    <w:rsid w:val="008F574E"/>
    <w:rsid w:val="00900D42"/>
    <w:rsid w:val="0090684A"/>
    <w:rsid w:val="0090697C"/>
    <w:rsid w:val="0090729A"/>
    <w:rsid w:val="00911DDB"/>
    <w:rsid w:val="00913E2E"/>
    <w:rsid w:val="00914729"/>
    <w:rsid w:val="00914DAB"/>
    <w:rsid w:val="00916A95"/>
    <w:rsid w:val="00922D1E"/>
    <w:rsid w:val="00923B61"/>
    <w:rsid w:val="00923C00"/>
    <w:rsid w:val="00923EB9"/>
    <w:rsid w:val="00935752"/>
    <w:rsid w:val="00935EB8"/>
    <w:rsid w:val="009365E6"/>
    <w:rsid w:val="00936804"/>
    <w:rsid w:val="009408C8"/>
    <w:rsid w:val="00943B9D"/>
    <w:rsid w:val="00944C66"/>
    <w:rsid w:val="00944CF5"/>
    <w:rsid w:val="0095230C"/>
    <w:rsid w:val="009600FC"/>
    <w:rsid w:val="0096337F"/>
    <w:rsid w:val="009641D9"/>
    <w:rsid w:val="00965CD9"/>
    <w:rsid w:val="009662AF"/>
    <w:rsid w:val="009767E5"/>
    <w:rsid w:val="00976DE8"/>
    <w:rsid w:val="0098372B"/>
    <w:rsid w:val="00986F34"/>
    <w:rsid w:val="00987093"/>
    <w:rsid w:val="009876F9"/>
    <w:rsid w:val="00987CC7"/>
    <w:rsid w:val="00987E92"/>
    <w:rsid w:val="00995C7E"/>
    <w:rsid w:val="009A069A"/>
    <w:rsid w:val="009A1753"/>
    <w:rsid w:val="009A6E26"/>
    <w:rsid w:val="009B089E"/>
    <w:rsid w:val="009B0E8F"/>
    <w:rsid w:val="009B1BA2"/>
    <w:rsid w:val="009B1D1E"/>
    <w:rsid w:val="009B25A6"/>
    <w:rsid w:val="009B2D17"/>
    <w:rsid w:val="009B3874"/>
    <w:rsid w:val="009B3CD2"/>
    <w:rsid w:val="009B4D57"/>
    <w:rsid w:val="009B75B6"/>
    <w:rsid w:val="009B7933"/>
    <w:rsid w:val="009C0752"/>
    <w:rsid w:val="009C15CA"/>
    <w:rsid w:val="009C57D4"/>
    <w:rsid w:val="009C62C0"/>
    <w:rsid w:val="009C7083"/>
    <w:rsid w:val="009D03BE"/>
    <w:rsid w:val="009D0838"/>
    <w:rsid w:val="009D1000"/>
    <w:rsid w:val="009D29D5"/>
    <w:rsid w:val="009D57AC"/>
    <w:rsid w:val="009D79F6"/>
    <w:rsid w:val="009D7D39"/>
    <w:rsid w:val="009E40B1"/>
    <w:rsid w:val="009E60E1"/>
    <w:rsid w:val="009F00CE"/>
    <w:rsid w:val="009F52AF"/>
    <w:rsid w:val="00A0150F"/>
    <w:rsid w:val="00A01B68"/>
    <w:rsid w:val="00A039CE"/>
    <w:rsid w:val="00A10BEA"/>
    <w:rsid w:val="00A112D3"/>
    <w:rsid w:val="00A1622F"/>
    <w:rsid w:val="00A16FF0"/>
    <w:rsid w:val="00A23109"/>
    <w:rsid w:val="00A246C9"/>
    <w:rsid w:val="00A2527D"/>
    <w:rsid w:val="00A25D21"/>
    <w:rsid w:val="00A372F7"/>
    <w:rsid w:val="00A37A6F"/>
    <w:rsid w:val="00A41FD5"/>
    <w:rsid w:val="00A46162"/>
    <w:rsid w:val="00A46200"/>
    <w:rsid w:val="00A51192"/>
    <w:rsid w:val="00A51C90"/>
    <w:rsid w:val="00A54393"/>
    <w:rsid w:val="00A6161F"/>
    <w:rsid w:val="00A61905"/>
    <w:rsid w:val="00A63BB7"/>
    <w:rsid w:val="00A67C51"/>
    <w:rsid w:val="00A70EA7"/>
    <w:rsid w:val="00A7437D"/>
    <w:rsid w:val="00A746CA"/>
    <w:rsid w:val="00A7633E"/>
    <w:rsid w:val="00A770CB"/>
    <w:rsid w:val="00A77526"/>
    <w:rsid w:val="00A8232F"/>
    <w:rsid w:val="00A85505"/>
    <w:rsid w:val="00A868D0"/>
    <w:rsid w:val="00A87EC6"/>
    <w:rsid w:val="00A91E6C"/>
    <w:rsid w:val="00A95C6B"/>
    <w:rsid w:val="00A96DBD"/>
    <w:rsid w:val="00A97FA4"/>
    <w:rsid w:val="00AA09DF"/>
    <w:rsid w:val="00AA315A"/>
    <w:rsid w:val="00AA33B3"/>
    <w:rsid w:val="00AA3C38"/>
    <w:rsid w:val="00AA51C7"/>
    <w:rsid w:val="00AA5428"/>
    <w:rsid w:val="00AA5495"/>
    <w:rsid w:val="00AA65C1"/>
    <w:rsid w:val="00AA6EB7"/>
    <w:rsid w:val="00AA7D63"/>
    <w:rsid w:val="00AB1151"/>
    <w:rsid w:val="00AB1B17"/>
    <w:rsid w:val="00AC565D"/>
    <w:rsid w:val="00AC600E"/>
    <w:rsid w:val="00AC748B"/>
    <w:rsid w:val="00AD3D87"/>
    <w:rsid w:val="00AD3DEE"/>
    <w:rsid w:val="00AD7265"/>
    <w:rsid w:val="00AE03F7"/>
    <w:rsid w:val="00AE1813"/>
    <w:rsid w:val="00AE62B0"/>
    <w:rsid w:val="00AE7AD0"/>
    <w:rsid w:val="00AF14FD"/>
    <w:rsid w:val="00AF1E75"/>
    <w:rsid w:val="00AF29EA"/>
    <w:rsid w:val="00AF2E60"/>
    <w:rsid w:val="00AF473E"/>
    <w:rsid w:val="00AF4971"/>
    <w:rsid w:val="00AF6A91"/>
    <w:rsid w:val="00B003FF"/>
    <w:rsid w:val="00B02FF2"/>
    <w:rsid w:val="00B04AF4"/>
    <w:rsid w:val="00B06C42"/>
    <w:rsid w:val="00B22C42"/>
    <w:rsid w:val="00B31DE2"/>
    <w:rsid w:val="00B342C4"/>
    <w:rsid w:val="00B4105D"/>
    <w:rsid w:val="00B421DB"/>
    <w:rsid w:val="00B4221D"/>
    <w:rsid w:val="00B42332"/>
    <w:rsid w:val="00B42C6B"/>
    <w:rsid w:val="00B444E3"/>
    <w:rsid w:val="00B44870"/>
    <w:rsid w:val="00B44E2F"/>
    <w:rsid w:val="00B46308"/>
    <w:rsid w:val="00B47DAA"/>
    <w:rsid w:val="00B5009B"/>
    <w:rsid w:val="00B51191"/>
    <w:rsid w:val="00B52F51"/>
    <w:rsid w:val="00B55017"/>
    <w:rsid w:val="00B558A9"/>
    <w:rsid w:val="00B61FC5"/>
    <w:rsid w:val="00B62A4A"/>
    <w:rsid w:val="00B666F3"/>
    <w:rsid w:val="00B66E5D"/>
    <w:rsid w:val="00B70AF0"/>
    <w:rsid w:val="00B756B9"/>
    <w:rsid w:val="00B81FDA"/>
    <w:rsid w:val="00B85464"/>
    <w:rsid w:val="00B85E9E"/>
    <w:rsid w:val="00B91B3D"/>
    <w:rsid w:val="00B92A42"/>
    <w:rsid w:val="00B92CF3"/>
    <w:rsid w:val="00B95B65"/>
    <w:rsid w:val="00BA4734"/>
    <w:rsid w:val="00BA53B9"/>
    <w:rsid w:val="00BA77BB"/>
    <w:rsid w:val="00BB30E0"/>
    <w:rsid w:val="00BB42EB"/>
    <w:rsid w:val="00BB667A"/>
    <w:rsid w:val="00BB7FC8"/>
    <w:rsid w:val="00BC4BD6"/>
    <w:rsid w:val="00BD0AD3"/>
    <w:rsid w:val="00BD0BCA"/>
    <w:rsid w:val="00BD14C2"/>
    <w:rsid w:val="00BD215C"/>
    <w:rsid w:val="00BD7E2B"/>
    <w:rsid w:val="00BE0BD7"/>
    <w:rsid w:val="00BE1DEC"/>
    <w:rsid w:val="00BE1F2A"/>
    <w:rsid w:val="00BE1F54"/>
    <w:rsid w:val="00BE4A2B"/>
    <w:rsid w:val="00BE665C"/>
    <w:rsid w:val="00BF1F2D"/>
    <w:rsid w:val="00BF2F16"/>
    <w:rsid w:val="00BF71BC"/>
    <w:rsid w:val="00C01E1B"/>
    <w:rsid w:val="00C02578"/>
    <w:rsid w:val="00C039FA"/>
    <w:rsid w:val="00C04972"/>
    <w:rsid w:val="00C056B7"/>
    <w:rsid w:val="00C07909"/>
    <w:rsid w:val="00C118E2"/>
    <w:rsid w:val="00C14C39"/>
    <w:rsid w:val="00C15365"/>
    <w:rsid w:val="00C20AD6"/>
    <w:rsid w:val="00C267C1"/>
    <w:rsid w:val="00C30BF1"/>
    <w:rsid w:val="00C33823"/>
    <w:rsid w:val="00C362A5"/>
    <w:rsid w:val="00C36E5A"/>
    <w:rsid w:val="00C377AC"/>
    <w:rsid w:val="00C420C4"/>
    <w:rsid w:val="00C4288E"/>
    <w:rsid w:val="00C42FC6"/>
    <w:rsid w:val="00C43025"/>
    <w:rsid w:val="00C46C8C"/>
    <w:rsid w:val="00C515AF"/>
    <w:rsid w:val="00C517C4"/>
    <w:rsid w:val="00C52014"/>
    <w:rsid w:val="00C5280C"/>
    <w:rsid w:val="00C542C3"/>
    <w:rsid w:val="00C5694B"/>
    <w:rsid w:val="00C60693"/>
    <w:rsid w:val="00C62B65"/>
    <w:rsid w:val="00C633A6"/>
    <w:rsid w:val="00C63BD6"/>
    <w:rsid w:val="00C657A6"/>
    <w:rsid w:val="00C6607C"/>
    <w:rsid w:val="00C66794"/>
    <w:rsid w:val="00C67BE1"/>
    <w:rsid w:val="00C70F48"/>
    <w:rsid w:val="00C746C7"/>
    <w:rsid w:val="00C7495A"/>
    <w:rsid w:val="00C77C67"/>
    <w:rsid w:val="00C80C05"/>
    <w:rsid w:val="00C81C61"/>
    <w:rsid w:val="00C8317C"/>
    <w:rsid w:val="00C85A11"/>
    <w:rsid w:val="00C95AEB"/>
    <w:rsid w:val="00CA11C9"/>
    <w:rsid w:val="00CA12AB"/>
    <w:rsid w:val="00CA21B8"/>
    <w:rsid w:val="00CA6C75"/>
    <w:rsid w:val="00CA784E"/>
    <w:rsid w:val="00CA7941"/>
    <w:rsid w:val="00CA7F8E"/>
    <w:rsid w:val="00CB0487"/>
    <w:rsid w:val="00CB19AF"/>
    <w:rsid w:val="00CB6210"/>
    <w:rsid w:val="00CB7C45"/>
    <w:rsid w:val="00CC1542"/>
    <w:rsid w:val="00CC1BB1"/>
    <w:rsid w:val="00CC2015"/>
    <w:rsid w:val="00CC2205"/>
    <w:rsid w:val="00CC408A"/>
    <w:rsid w:val="00CD3F5F"/>
    <w:rsid w:val="00CD5363"/>
    <w:rsid w:val="00CD7291"/>
    <w:rsid w:val="00CD78EC"/>
    <w:rsid w:val="00CE044F"/>
    <w:rsid w:val="00CE754C"/>
    <w:rsid w:val="00CF1BFE"/>
    <w:rsid w:val="00CF3FCB"/>
    <w:rsid w:val="00CF5444"/>
    <w:rsid w:val="00CF593D"/>
    <w:rsid w:val="00D013DC"/>
    <w:rsid w:val="00D05F39"/>
    <w:rsid w:val="00D062C9"/>
    <w:rsid w:val="00D11522"/>
    <w:rsid w:val="00D15E81"/>
    <w:rsid w:val="00D15E84"/>
    <w:rsid w:val="00D20507"/>
    <w:rsid w:val="00D206C9"/>
    <w:rsid w:val="00D20CFD"/>
    <w:rsid w:val="00D22187"/>
    <w:rsid w:val="00D228B6"/>
    <w:rsid w:val="00D27CA0"/>
    <w:rsid w:val="00D31DA1"/>
    <w:rsid w:val="00D34089"/>
    <w:rsid w:val="00D372AE"/>
    <w:rsid w:val="00D400BE"/>
    <w:rsid w:val="00D4092E"/>
    <w:rsid w:val="00D45368"/>
    <w:rsid w:val="00D5506F"/>
    <w:rsid w:val="00D57617"/>
    <w:rsid w:val="00D57D99"/>
    <w:rsid w:val="00D57EB0"/>
    <w:rsid w:val="00D6055F"/>
    <w:rsid w:val="00D67D6F"/>
    <w:rsid w:val="00D72C20"/>
    <w:rsid w:val="00D814CC"/>
    <w:rsid w:val="00D81655"/>
    <w:rsid w:val="00D82CBA"/>
    <w:rsid w:val="00D84F90"/>
    <w:rsid w:val="00D86DC7"/>
    <w:rsid w:val="00D876D4"/>
    <w:rsid w:val="00D90B2D"/>
    <w:rsid w:val="00D90D9D"/>
    <w:rsid w:val="00D923BB"/>
    <w:rsid w:val="00D9312B"/>
    <w:rsid w:val="00D94DC2"/>
    <w:rsid w:val="00D9598A"/>
    <w:rsid w:val="00D96897"/>
    <w:rsid w:val="00D96F66"/>
    <w:rsid w:val="00DA0372"/>
    <w:rsid w:val="00DA2C1A"/>
    <w:rsid w:val="00DA6791"/>
    <w:rsid w:val="00DA7B40"/>
    <w:rsid w:val="00DA7F84"/>
    <w:rsid w:val="00DB4E98"/>
    <w:rsid w:val="00DB5729"/>
    <w:rsid w:val="00DB73AD"/>
    <w:rsid w:val="00DC159F"/>
    <w:rsid w:val="00DC33DD"/>
    <w:rsid w:val="00DC4099"/>
    <w:rsid w:val="00DC4893"/>
    <w:rsid w:val="00DD320B"/>
    <w:rsid w:val="00DE1D0C"/>
    <w:rsid w:val="00DE3FF6"/>
    <w:rsid w:val="00DE5356"/>
    <w:rsid w:val="00DF3293"/>
    <w:rsid w:val="00DF43EF"/>
    <w:rsid w:val="00DF46B3"/>
    <w:rsid w:val="00DF580A"/>
    <w:rsid w:val="00E00EE8"/>
    <w:rsid w:val="00E07BEA"/>
    <w:rsid w:val="00E10701"/>
    <w:rsid w:val="00E11E46"/>
    <w:rsid w:val="00E1330E"/>
    <w:rsid w:val="00E13F5F"/>
    <w:rsid w:val="00E14886"/>
    <w:rsid w:val="00E14941"/>
    <w:rsid w:val="00E159AD"/>
    <w:rsid w:val="00E22583"/>
    <w:rsid w:val="00E22765"/>
    <w:rsid w:val="00E2509E"/>
    <w:rsid w:val="00E25E6F"/>
    <w:rsid w:val="00E26D44"/>
    <w:rsid w:val="00E27861"/>
    <w:rsid w:val="00E31892"/>
    <w:rsid w:val="00E34A24"/>
    <w:rsid w:val="00E36F5F"/>
    <w:rsid w:val="00E41DC7"/>
    <w:rsid w:val="00E43EE0"/>
    <w:rsid w:val="00E479C1"/>
    <w:rsid w:val="00E5099F"/>
    <w:rsid w:val="00E54931"/>
    <w:rsid w:val="00E55D0D"/>
    <w:rsid w:val="00E562AE"/>
    <w:rsid w:val="00E60435"/>
    <w:rsid w:val="00E61096"/>
    <w:rsid w:val="00E64A5E"/>
    <w:rsid w:val="00E64D92"/>
    <w:rsid w:val="00E66FAC"/>
    <w:rsid w:val="00E751CA"/>
    <w:rsid w:val="00E9018D"/>
    <w:rsid w:val="00E90D51"/>
    <w:rsid w:val="00E92476"/>
    <w:rsid w:val="00E93D2E"/>
    <w:rsid w:val="00E94581"/>
    <w:rsid w:val="00E957E2"/>
    <w:rsid w:val="00E95961"/>
    <w:rsid w:val="00E97E2E"/>
    <w:rsid w:val="00EA041C"/>
    <w:rsid w:val="00EA2268"/>
    <w:rsid w:val="00EA2F38"/>
    <w:rsid w:val="00EA714F"/>
    <w:rsid w:val="00EB1B28"/>
    <w:rsid w:val="00EB2202"/>
    <w:rsid w:val="00EC2BA0"/>
    <w:rsid w:val="00EC4981"/>
    <w:rsid w:val="00EC650D"/>
    <w:rsid w:val="00EC6AF4"/>
    <w:rsid w:val="00ED261B"/>
    <w:rsid w:val="00ED2DEF"/>
    <w:rsid w:val="00ED4413"/>
    <w:rsid w:val="00ED7620"/>
    <w:rsid w:val="00EE2E21"/>
    <w:rsid w:val="00EE2FE9"/>
    <w:rsid w:val="00EE4B62"/>
    <w:rsid w:val="00EE4D89"/>
    <w:rsid w:val="00EF2637"/>
    <w:rsid w:val="00EF6424"/>
    <w:rsid w:val="00F00276"/>
    <w:rsid w:val="00F0154B"/>
    <w:rsid w:val="00F01632"/>
    <w:rsid w:val="00F04A1B"/>
    <w:rsid w:val="00F063BB"/>
    <w:rsid w:val="00F064B4"/>
    <w:rsid w:val="00F113BB"/>
    <w:rsid w:val="00F12EF6"/>
    <w:rsid w:val="00F14F3B"/>
    <w:rsid w:val="00F154BA"/>
    <w:rsid w:val="00F16997"/>
    <w:rsid w:val="00F17865"/>
    <w:rsid w:val="00F178CA"/>
    <w:rsid w:val="00F2004A"/>
    <w:rsid w:val="00F241E8"/>
    <w:rsid w:val="00F278EE"/>
    <w:rsid w:val="00F27AC0"/>
    <w:rsid w:val="00F318F5"/>
    <w:rsid w:val="00F32AFD"/>
    <w:rsid w:val="00F32CBB"/>
    <w:rsid w:val="00F34519"/>
    <w:rsid w:val="00F35B8C"/>
    <w:rsid w:val="00F36122"/>
    <w:rsid w:val="00F37AE7"/>
    <w:rsid w:val="00F404E0"/>
    <w:rsid w:val="00F414FF"/>
    <w:rsid w:val="00F41E63"/>
    <w:rsid w:val="00F46EB2"/>
    <w:rsid w:val="00F47D7C"/>
    <w:rsid w:val="00F50FC6"/>
    <w:rsid w:val="00F518D2"/>
    <w:rsid w:val="00F535ED"/>
    <w:rsid w:val="00F53D2E"/>
    <w:rsid w:val="00F5491B"/>
    <w:rsid w:val="00F55B79"/>
    <w:rsid w:val="00F57085"/>
    <w:rsid w:val="00F6029B"/>
    <w:rsid w:val="00F65BDC"/>
    <w:rsid w:val="00F66ABF"/>
    <w:rsid w:val="00F67CA2"/>
    <w:rsid w:val="00F76281"/>
    <w:rsid w:val="00F7739D"/>
    <w:rsid w:val="00F82890"/>
    <w:rsid w:val="00F838C5"/>
    <w:rsid w:val="00F84A74"/>
    <w:rsid w:val="00F86426"/>
    <w:rsid w:val="00F86B02"/>
    <w:rsid w:val="00F87CFF"/>
    <w:rsid w:val="00F92B29"/>
    <w:rsid w:val="00F93629"/>
    <w:rsid w:val="00F95261"/>
    <w:rsid w:val="00F9562F"/>
    <w:rsid w:val="00F97FCD"/>
    <w:rsid w:val="00FA1BC7"/>
    <w:rsid w:val="00FA4A09"/>
    <w:rsid w:val="00FA7887"/>
    <w:rsid w:val="00FA7A23"/>
    <w:rsid w:val="00FB1C28"/>
    <w:rsid w:val="00FB3010"/>
    <w:rsid w:val="00FB5B3F"/>
    <w:rsid w:val="00FB6860"/>
    <w:rsid w:val="00FB730C"/>
    <w:rsid w:val="00FC0787"/>
    <w:rsid w:val="00FC0A50"/>
    <w:rsid w:val="00FC10B6"/>
    <w:rsid w:val="00FC1123"/>
    <w:rsid w:val="00FC1F8D"/>
    <w:rsid w:val="00FC28C7"/>
    <w:rsid w:val="00FC4712"/>
    <w:rsid w:val="00FC4BC1"/>
    <w:rsid w:val="00FC5568"/>
    <w:rsid w:val="00FC6349"/>
    <w:rsid w:val="00FC6FBD"/>
    <w:rsid w:val="00FD06E0"/>
    <w:rsid w:val="00FD2610"/>
    <w:rsid w:val="00FD5726"/>
    <w:rsid w:val="00FD59CD"/>
    <w:rsid w:val="00FD6471"/>
    <w:rsid w:val="00FE0D6E"/>
    <w:rsid w:val="00FE4A56"/>
    <w:rsid w:val="00FF3AB4"/>
    <w:rsid w:val="00FF4B9A"/>
    <w:rsid w:val="00FF5E0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55E6D"/>
  <w15:chartTrackingRefBased/>
  <w15:docId w15:val="{EDBDEFCB-E8C8-4EA5-A2F0-7AD6F34FC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3">
    <w:name w:val="heading 3"/>
    <w:basedOn w:val="Normaallaad"/>
    <w:link w:val="Pealkiri3Mrk"/>
    <w:uiPriority w:val="9"/>
    <w:unhideWhenUsed/>
    <w:qFormat/>
    <w:rsid w:val="00B003FF"/>
    <w:pPr>
      <w:spacing w:before="100" w:beforeAutospacing="1" w:after="100" w:afterAutospacing="1"/>
      <w:outlineLvl w:val="2"/>
    </w:pPr>
    <w:rPr>
      <w:rFonts w:eastAsia="Times New Roman"/>
      <w:b/>
      <w:bCs/>
      <w:kern w:val="0"/>
      <w:sz w:val="27"/>
      <w:szCs w:val="27"/>
      <w:lang w:eastAsia="et-EE"/>
      <w14:ligatures w14:val="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3Mrk">
    <w:name w:val="Pealkiri 3 Märk"/>
    <w:basedOn w:val="Liguvaikefont"/>
    <w:link w:val="Pealkiri3"/>
    <w:uiPriority w:val="9"/>
    <w:rsid w:val="00B003FF"/>
    <w:rPr>
      <w:rFonts w:eastAsia="Times New Roman"/>
      <w:b/>
      <w:bCs/>
      <w:kern w:val="0"/>
      <w:sz w:val="27"/>
      <w:szCs w:val="27"/>
      <w:lang w:eastAsia="et-EE"/>
      <w14:ligatures w14:val="none"/>
    </w:rPr>
  </w:style>
  <w:style w:type="numbering" w:customStyle="1" w:styleId="Loendita1">
    <w:name w:val="Loendita1"/>
    <w:next w:val="Loendita"/>
    <w:uiPriority w:val="99"/>
    <w:semiHidden/>
    <w:unhideWhenUsed/>
    <w:rsid w:val="00B003FF"/>
  </w:style>
  <w:style w:type="character" w:styleId="Hperlink">
    <w:name w:val="Hyperlink"/>
    <w:basedOn w:val="Liguvaikefont"/>
    <w:uiPriority w:val="99"/>
    <w:unhideWhenUsed/>
    <w:rsid w:val="00B003FF"/>
    <w:rPr>
      <w:color w:val="0563C1" w:themeColor="hyperlink"/>
      <w:u w:val="single"/>
    </w:rPr>
  </w:style>
  <w:style w:type="character" w:styleId="Klastatudhperlink">
    <w:name w:val="FollowedHyperlink"/>
    <w:basedOn w:val="Liguvaikefont"/>
    <w:uiPriority w:val="99"/>
    <w:semiHidden/>
    <w:unhideWhenUsed/>
    <w:rsid w:val="00B003FF"/>
    <w:rPr>
      <w:color w:val="954F72" w:themeColor="followedHyperlink"/>
      <w:u w:val="single"/>
    </w:rPr>
  </w:style>
  <w:style w:type="paragraph" w:customStyle="1" w:styleId="msonormal0">
    <w:name w:val="msonormal"/>
    <w:basedOn w:val="Normaallaad"/>
    <w:uiPriority w:val="99"/>
    <w:rsid w:val="00B003FF"/>
    <w:pPr>
      <w:spacing w:before="100" w:beforeAutospacing="1" w:after="100" w:afterAutospacing="1"/>
    </w:pPr>
    <w:rPr>
      <w:rFonts w:eastAsia="Times New Roman"/>
      <w:kern w:val="0"/>
      <w:lang w:eastAsia="et-EE"/>
      <w14:ligatures w14:val="none"/>
    </w:rPr>
  </w:style>
  <w:style w:type="paragraph" w:styleId="Normaallaadveeb">
    <w:name w:val="Normal (Web)"/>
    <w:basedOn w:val="Normaallaad"/>
    <w:uiPriority w:val="99"/>
    <w:semiHidden/>
    <w:unhideWhenUsed/>
    <w:rsid w:val="00B003FF"/>
    <w:pPr>
      <w:spacing w:before="100" w:beforeAutospacing="1" w:after="100" w:afterAutospacing="1"/>
    </w:pPr>
    <w:rPr>
      <w:rFonts w:eastAsia="Times New Roman"/>
      <w:kern w:val="0"/>
      <w:lang w:eastAsia="et-EE"/>
      <w14:ligatures w14:val="none"/>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Märk,o"/>
    <w:basedOn w:val="Normaallaad"/>
    <w:link w:val="AllmrkusetekstMrk"/>
    <w:uiPriority w:val="99"/>
    <w:unhideWhenUsed/>
    <w:qFormat/>
    <w:rsid w:val="00B003FF"/>
    <w:rPr>
      <w:rFonts w:ascii="Arial" w:eastAsia="Times New Roman" w:hAnsi="Arial"/>
      <w:kern w:val="0"/>
      <w:sz w:val="20"/>
      <w:szCs w:val="20"/>
      <w14:ligatures w14:val="none"/>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qFormat/>
    <w:rsid w:val="00B003FF"/>
    <w:rPr>
      <w:rFonts w:ascii="Arial" w:eastAsia="Times New Roman" w:hAnsi="Arial"/>
      <w:kern w:val="0"/>
      <w:sz w:val="20"/>
      <w:szCs w:val="20"/>
      <w14:ligatures w14:val="none"/>
    </w:rPr>
  </w:style>
  <w:style w:type="paragraph" w:styleId="Kommentaaritekst">
    <w:name w:val="annotation text"/>
    <w:basedOn w:val="Normaallaad"/>
    <w:link w:val="KommentaaritekstMrk"/>
    <w:uiPriority w:val="99"/>
    <w:unhideWhenUsed/>
    <w:rsid w:val="00B003FF"/>
    <w:rPr>
      <w:rFonts w:eastAsia="Calibri"/>
      <w:sz w:val="20"/>
      <w:szCs w:val="20"/>
    </w:rPr>
  </w:style>
  <w:style w:type="character" w:customStyle="1" w:styleId="KommentaaritekstMrk">
    <w:name w:val="Kommentaari tekst Märk"/>
    <w:basedOn w:val="Liguvaikefont"/>
    <w:link w:val="Kommentaaritekst"/>
    <w:uiPriority w:val="99"/>
    <w:rsid w:val="00B003FF"/>
    <w:rPr>
      <w:rFonts w:eastAsia="Calibri"/>
      <w:sz w:val="20"/>
      <w:szCs w:val="20"/>
    </w:rPr>
  </w:style>
  <w:style w:type="paragraph" w:styleId="Pis">
    <w:name w:val="header"/>
    <w:basedOn w:val="Normaallaad"/>
    <w:link w:val="PisMrk"/>
    <w:uiPriority w:val="99"/>
    <w:unhideWhenUsed/>
    <w:rsid w:val="00B003FF"/>
    <w:pPr>
      <w:tabs>
        <w:tab w:val="center" w:pos="4536"/>
        <w:tab w:val="right" w:pos="9072"/>
      </w:tabs>
    </w:pPr>
    <w:rPr>
      <w:rFonts w:eastAsia="Calibri"/>
    </w:rPr>
  </w:style>
  <w:style w:type="character" w:customStyle="1" w:styleId="PisMrk">
    <w:name w:val="Päis Märk"/>
    <w:basedOn w:val="Liguvaikefont"/>
    <w:link w:val="Pis"/>
    <w:uiPriority w:val="99"/>
    <w:rsid w:val="00B003FF"/>
    <w:rPr>
      <w:rFonts w:eastAsia="Calibri"/>
    </w:rPr>
  </w:style>
  <w:style w:type="paragraph" w:styleId="Jalus">
    <w:name w:val="footer"/>
    <w:basedOn w:val="Normaallaad"/>
    <w:link w:val="JalusMrk"/>
    <w:uiPriority w:val="99"/>
    <w:unhideWhenUsed/>
    <w:rsid w:val="00B003FF"/>
    <w:pPr>
      <w:tabs>
        <w:tab w:val="center" w:pos="4536"/>
        <w:tab w:val="right" w:pos="9072"/>
      </w:tabs>
    </w:pPr>
    <w:rPr>
      <w:rFonts w:eastAsia="Calibri"/>
    </w:rPr>
  </w:style>
  <w:style w:type="character" w:customStyle="1" w:styleId="JalusMrk">
    <w:name w:val="Jalus Märk"/>
    <w:basedOn w:val="Liguvaikefont"/>
    <w:link w:val="Jalus"/>
    <w:uiPriority w:val="99"/>
    <w:rsid w:val="00B003FF"/>
    <w:rPr>
      <w:rFonts w:eastAsia="Calibri"/>
    </w:rPr>
  </w:style>
  <w:style w:type="paragraph" w:styleId="Kommentaariteema">
    <w:name w:val="annotation subject"/>
    <w:basedOn w:val="Kommentaaritekst"/>
    <w:next w:val="Kommentaaritekst"/>
    <w:link w:val="KommentaariteemaMrk"/>
    <w:uiPriority w:val="99"/>
    <w:semiHidden/>
    <w:unhideWhenUsed/>
    <w:rsid w:val="00B003FF"/>
    <w:rPr>
      <w:b/>
      <w:bCs/>
    </w:rPr>
  </w:style>
  <w:style w:type="character" w:customStyle="1" w:styleId="KommentaariteemaMrk">
    <w:name w:val="Kommentaari teema Märk"/>
    <w:basedOn w:val="KommentaaritekstMrk"/>
    <w:link w:val="Kommentaariteema"/>
    <w:uiPriority w:val="99"/>
    <w:semiHidden/>
    <w:rsid w:val="00B003FF"/>
    <w:rPr>
      <w:rFonts w:eastAsia="Calibri"/>
      <w:b/>
      <w:bCs/>
      <w:sz w:val="20"/>
      <w:szCs w:val="20"/>
    </w:rPr>
  </w:style>
  <w:style w:type="paragraph" w:styleId="Redaktsioon">
    <w:name w:val="Revision"/>
    <w:uiPriority w:val="99"/>
    <w:semiHidden/>
    <w:rsid w:val="00B003FF"/>
    <w:rPr>
      <w:rFonts w:eastAsia="Calibri"/>
    </w:rPr>
  </w:style>
  <w:style w:type="character" w:customStyle="1" w:styleId="LoendilikMrk">
    <w:name w:val="Loendi lõik Märk"/>
    <w:link w:val="Loendilik"/>
    <w:uiPriority w:val="34"/>
    <w:locked/>
    <w:rsid w:val="00B003FF"/>
  </w:style>
  <w:style w:type="paragraph" w:styleId="Loendilik">
    <w:name w:val="List Paragraph"/>
    <w:basedOn w:val="Normaallaad"/>
    <w:link w:val="LoendilikMrk"/>
    <w:uiPriority w:val="34"/>
    <w:qFormat/>
    <w:rsid w:val="00B003FF"/>
    <w:pPr>
      <w:ind w:left="720"/>
      <w:contextualSpacing/>
    </w:pPr>
  </w:style>
  <w:style w:type="paragraph" w:customStyle="1" w:styleId="pf0">
    <w:name w:val="pf0"/>
    <w:basedOn w:val="Normaallaad"/>
    <w:rsid w:val="00B003FF"/>
    <w:pPr>
      <w:spacing w:before="100" w:beforeAutospacing="1" w:after="100" w:afterAutospacing="1"/>
    </w:pPr>
    <w:rPr>
      <w:rFonts w:eastAsia="Times New Roman"/>
      <w:kern w:val="0"/>
      <w:lang w:eastAsia="et-EE"/>
      <w14:ligatures w14:val="none"/>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link w:val="FootnoteReferneceChar"/>
    <w:uiPriority w:val="99"/>
    <w:unhideWhenUsed/>
    <w:qFormat/>
    <w:rsid w:val="00B003FF"/>
    <w:rPr>
      <w:vertAlign w:val="superscript"/>
    </w:rPr>
  </w:style>
  <w:style w:type="character" w:styleId="Kommentaariviide">
    <w:name w:val="annotation reference"/>
    <w:basedOn w:val="Liguvaikefont"/>
    <w:uiPriority w:val="99"/>
    <w:semiHidden/>
    <w:unhideWhenUsed/>
    <w:rsid w:val="00B003FF"/>
    <w:rPr>
      <w:sz w:val="16"/>
      <w:szCs w:val="16"/>
    </w:rPr>
  </w:style>
  <w:style w:type="character" w:customStyle="1" w:styleId="cf01">
    <w:name w:val="cf01"/>
    <w:basedOn w:val="Liguvaikefont"/>
    <w:rsid w:val="00B003FF"/>
    <w:rPr>
      <w:rFonts w:ascii="Segoe UI" w:hAnsi="Segoe UI" w:cs="Segoe UI" w:hint="default"/>
      <w:sz w:val="18"/>
      <w:szCs w:val="18"/>
    </w:rPr>
  </w:style>
  <w:style w:type="table" w:styleId="Kontuurtabel">
    <w:name w:val="Table Grid"/>
    <w:basedOn w:val="Normaaltabel"/>
    <w:uiPriority w:val="39"/>
    <w:rsid w:val="00B003FF"/>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914729"/>
    <w:rPr>
      <w:rFonts w:ascii="Calibri" w:eastAsiaTheme="minorEastAsia" w:hAnsi="Calibri"/>
      <w:kern w:val="0"/>
      <w:sz w:val="22"/>
      <w:szCs w:val="22"/>
      <w14:ligatures w14:val="none"/>
    </w:rPr>
  </w:style>
  <w:style w:type="character" w:styleId="Lahendamatamainimine">
    <w:name w:val="Unresolved Mention"/>
    <w:basedOn w:val="Liguvaikefont"/>
    <w:uiPriority w:val="99"/>
    <w:semiHidden/>
    <w:unhideWhenUsed/>
    <w:rsid w:val="00F404E0"/>
    <w:rPr>
      <w:color w:val="605E5C"/>
      <w:shd w:val="clear" w:color="auto" w:fill="E1DFDD"/>
    </w:rPr>
  </w:style>
  <w:style w:type="character" w:customStyle="1" w:styleId="mm">
    <w:name w:val="mm"/>
    <w:basedOn w:val="Liguvaikefont"/>
    <w:rsid w:val="00D96897"/>
  </w:style>
  <w:style w:type="paragraph" w:customStyle="1" w:styleId="paragraph">
    <w:name w:val="paragraph"/>
    <w:basedOn w:val="Normaallaad"/>
    <w:rsid w:val="001E34A2"/>
    <w:pPr>
      <w:spacing w:before="100" w:beforeAutospacing="1" w:after="100" w:afterAutospacing="1"/>
    </w:pPr>
    <w:rPr>
      <w:rFonts w:eastAsia="Times New Roman"/>
      <w:kern w:val="0"/>
      <w:lang w:val="en-US" w:eastAsia="en-GB"/>
      <w14:ligatures w14:val="none"/>
    </w:rPr>
  </w:style>
  <w:style w:type="character" w:customStyle="1" w:styleId="normaltextrun">
    <w:name w:val="normaltextrun"/>
    <w:basedOn w:val="Liguvaikefont"/>
    <w:rsid w:val="001E34A2"/>
  </w:style>
  <w:style w:type="numbering" w:customStyle="1" w:styleId="Praeguneloend1">
    <w:name w:val="Praegune loend1"/>
    <w:uiPriority w:val="99"/>
    <w:rsid w:val="00FA7887"/>
    <w:pPr>
      <w:numPr>
        <w:numId w:val="1"/>
      </w:numPr>
    </w:p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allaad"/>
    <w:link w:val="Allmrkuseviide"/>
    <w:uiPriority w:val="99"/>
    <w:rsid w:val="00FA7887"/>
    <w:pPr>
      <w:spacing w:before="240" w:line="240" w:lineRule="exact"/>
      <w:jc w:val="both"/>
    </w:pPr>
    <w:rPr>
      <w:vertAlign w:val="superscript"/>
    </w:rPr>
  </w:style>
  <w:style w:type="paragraph" w:customStyle="1" w:styleId="Snum">
    <w:name w:val="Sõnum"/>
    <w:autoRedefine/>
    <w:qFormat/>
    <w:rsid w:val="003A081C"/>
    <w:pPr>
      <w:spacing w:line="276" w:lineRule="auto"/>
      <w:jc w:val="both"/>
    </w:pPr>
    <w:rPr>
      <w:rFonts w:eastAsia="SimSun" w:cs="Mangal"/>
      <w:kern w:val="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59888">
      <w:bodyDiv w:val="1"/>
      <w:marLeft w:val="0"/>
      <w:marRight w:val="0"/>
      <w:marTop w:val="0"/>
      <w:marBottom w:val="0"/>
      <w:divBdr>
        <w:top w:val="none" w:sz="0" w:space="0" w:color="auto"/>
        <w:left w:val="none" w:sz="0" w:space="0" w:color="auto"/>
        <w:bottom w:val="none" w:sz="0" w:space="0" w:color="auto"/>
        <w:right w:val="none" w:sz="0" w:space="0" w:color="auto"/>
      </w:divBdr>
    </w:div>
    <w:div w:id="89593915">
      <w:bodyDiv w:val="1"/>
      <w:marLeft w:val="0"/>
      <w:marRight w:val="0"/>
      <w:marTop w:val="0"/>
      <w:marBottom w:val="0"/>
      <w:divBdr>
        <w:top w:val="none" w:sz="0" w:space="0" w:color="auto"/>
        <w:left w:val="none" w:sz="0" w:space="0" w:color="auto"/>
        <w:bottom w:val="none" w:sz="0" w:space="0" w:color="auto"/>
        <w:right w:val="none" w:sz="0" w:space="0" w:color="auto"/>
      </w:divBdr>
    </w:div>
    <w:div w:id="131406659">
      <w:bodyDiv w:val="1"/>
      <w:marLeft w:val="0"/>
      <w:marRight w:val="0"/>
      <w:marTop w:val="0"/>
      <w:marBottom w:val="0"/>
      <w:divBdr>
        <w:top w:val="none" w:sz="0" w:space="0" w:color="auto"/>
        <w:left w:val="none" w:sz="0" w:space="0" w:color="auto"/>
        <w:bottom w:val="none" w:sz="0" w:space="0" w:color="auto"/>
        <w:right w:val="none" w:sz="0" w:space="0" w:color="auto"/>
      </w:divBdr>
    </w:div>
    <w:div w:id="153763909">
      <w:bodyDiv w:val="1"/>
      <w:marLeft w:val="0"/>
      <w:marRight w:val="0"/>
      <w:marTop w:val="0"/>
      <w:marBottom w:val="0"/>
      <w:divBdr>
        <w:top w:val="none" w:sz="0" w:space="0" w:color="auto"/>
        <w:left w:val="none" w:sz="0" w:space="0" w:color="auto"/>
        <w:bottom w:val="none" w:sz="0" w:space="0" w:color="auto"/>
        <w:right w:val="none" w:sz="0" w:space="0" w:color="auto"/>
      </w:divBdr>
    </w:div>
    <w:div w:id="243540648">
      <w:bodyDiv w:val="1"/>
      <w:marLeft w:val="0"/>
      <w:marRight w:val="0"/>
      <w:marTop w:val="0"/>
      <w:marBottom w:val="0"/>
      <w:divBdr>
        <w:top w:val="none" w:sz="0" w:space="0" w:color="auto"/>
        <w:left w:val="none" w:sz="0" w:space="0" w:color="auto"/>
        <w:bottom w:val="none" w:sz="0" w:space="0" w:color="auto"/>
        <w:right w:val="none" w:sz="0" w:space="0" w:color="auto"/>
      </w:divBdr>
    </w:div>
    <w:div w:id="271516955">
      <w:bodyDiv w:val="1"/>
      <w:marLeft w:val="0"/>
      <w:marRight w:val="0"/>
      <w:marTop w:val="0"/>
      <w:marBottom w:val="0"/>
      <w:divBdr>
        <w:top w:val="none" w:sz="0" w:space="0" w:color="auto"/>
        <w:left w:val="none" w:sz="0" w:space="0" w:color="auto"/>
        <w:bottom w:val="none" w:sz="0" w:space="0" w:color="auto"/>
        <w:right w:val="none" w:sz="0" w:space="0" w:color="auto"/>
      </w:divBdr>
    </w:div>
    <w:div w:id="282808835">
      <w:bodyDiv w:val="1"/>
      <w:marLeft w:val="0"/>
      <w:marRight w:val="0"/>
      <w:marTop w:val="0"/>
      <w:marBottom w:val="0"/>
      <w:divBdr>
        <w:top w:val="none" w:sz="0" w:space="0" w:color="auto"/>
        <w:left w:val="none" w:sz="0" w:space="0" w:color="auto"/>
        <w:bottom w:val="none" w:sz="0" w:space="0" w:color="auto"/>
        <w:right w:val="none" w:sz="0" w:space="0" w:color="auto"/>
      </w:divBdr>
      <w:divsChild>
        <w:div w:id="1960067382">
          <w:marLeft w:val="720"/>
          <w:marRight w:val="0"/>
          <w:marTop w:val="40"/>
          <w:marBottom w:val="0"/>
          <w:divBdr>
            <w:top w:val="none" w:sz="0" w:space="0" w:color="auto"/>
            <w:left w:val="none" w:sz="0" w:space="0" w:color="auto"/>
            <w:bottom w:val="none" w:sz="0" w:space="0" w:color="auto"/>
            <w:right w:val="none" w:sz="0" w:space="0" w:color="auto"/>
          </w:divBdr>
        </w:div>
        <w:div w:id="2132086587">
          <w:marLeft w:val="720"/>
          <w:marRight w:val="0"/>
          <w:marTop w:val="40"/>
          <w:marBottom w:val="0"/>
          <w:divBdr>
            <w:top w:val="none" w:sz="0" w:space="0" w:color="auto"/>
            <w:left w:val="none" w:sz="0" w:space="0" w:color="auto"/>
            <w:bottom w:val="none" w:sz="0" w:space="0" w:color="auto"/>
            <w:right w:val="none" w:sz="0" w:space="0" w:color="auto"/>
          </w:divBdr>
        </w:div>
        <w:div w:id="2126344742">
          <w:marLeft w:val="1555"/>
          <w:marRight w:val="0"/>
          <w:marTop w:val="40"/>
          <w:marBottom w:val="0"/>
          <w:divBdr>
            <w:top w:val="none" w:sz="0" w:space="0" w:color="auto"/>
            <w:left w:val="none" w:sz="0" w:space="0" w:color="auto"/>
            <w:bottom w:val="none" w:sz="0" w:space="0" w:color="auto"/>
            <w:right w:val="none" w:sz="0" w:space="0" w:color="auto"/>
          </w:divBdr>
        </w:div>
        <w:div w:id="1162233991">
          <w:marLeft w:val="1555"/>
          <w:marRight w:val="0"/>
          <w:marTop w:val="40"/>
          <w:marBottom w:val="0"/>
          <w:divBdr>
            <w:top w:val="none" w:sz="0" w:space="0" w:color="auto"/>
            <w:left w:val="none" w:sz="0" w:space="0" w:color="auto"/>
            <w:bottom w:val="none" w:sz="0" w:space="0" w:color="auto"/>
            <w:right w:val="none" w:sz="0" w:space="0" w:color="auto"/>
          </w:divBdr>
        </w:div>
      </w:divsChild>
    </w:div>
    <w:div w:id="322121723">
      <w:bodyDiv w:val="1"/>
      <w:marLeft w:val="0"/>
      <w:marRight w:val="0"/>
      <w:marTop w:val="0"/>
      <w:marBottom w:val="0"/>
      <w:divBdr>
        <w:top w:val="none" w:sz="0" w:space="0" w:color="auto"/>
        <w:left w:val="none" w:sz="0" w:space="0" w:color="auto"/>
        <w:bottom w:val="none" w:sz="0" w:space="0" w:color="auto"/>
        <w:right w:val="none" w:sz="0" w:space="0" w:color="auto"/>
      </w:divBdr>
    </w:div>
    <w:div w:id="388766720">
      <w:bodyDiv w:val="1"/>
      <w:marLeft w:val="0"/>
      <w:marRight w:val="0"/>
      <w:marTop w:val="0"/>
      <w:marBottom w:val="0"/>
      <w:divBdr>
        <w:top w:val="none" w:sz="0" w:space="0" w:color="auto"/>
        <w:left w:val="none" w:sz="0" w:space="0" w:color="auto"/>
        <w:bottom w:val="none" w:sz="0" w:space="0" w:color="auto"/>
        <w:right w:val="none" w:sz="0" w:space="0" w:color="auto"/>
      </w:divBdr>
    </w:div>
    <w:div w:id="405542767">
      <w:bodyDiv w:val="1"/>
      <w:marLeft w:val="0"/>
      <w:marRight w:val="0"/>
      <w:marTop w:val="0"/>
      <w:marBottom w:val="0"/>
      <w:divBdr>
        <w:top w:val="none" w:sz="0" w:space="0" w:color="auto"/>
        <w:left w:val="none" w:sz="0" w:space="0" w:color="auto"/>
        <w:bottom w:val="none" w:sz="0" w:space="0" w:color="auto"/>
        <w:right w:val="none" w:sz="0" w:space="0" w:color="auto"/>
      </w:divBdr>
      <w:divsChild>
        <w:div w:id="596838066">
          <w:marLeft w:val="720"/>
          <w:marRight w:val="0"/>
          <w:marTop w:val="40"/>
          <w:marBottom w:val="0"/>
          <w:divBdr>
            <w:top w:val="none" w:sz="0" w:space="0" w:color="auto"/>
            <w:left w:val="none" w:sz="0" w:space="0" w:color="auto"/>
            <w:bottom w:val="none" w:sz="0" w:space="0" w:color="auto"/>
            <w:right w:val="none" w:sz="0" w:space="0" w:color="auto"/>
          </w:divBdr>
        </w:div>
        <w:div w:id="1354454987">
          <w:marLeft w:val="720"/>
          <w:marRight w:val="0"/>
          <w:marTop w:val="40"/>
          <w:marBottom w:val="0"/>
          <w:divBdr>
            <w:top w:val="none" w:sz="0" w:space="0" w:color="auto"/>
            <w:left w:val="none" w:sz="0" w:space="0" w:color="auto"/>
            <w:bottom w:val="none" w:sz="0" w:space="0" w:color="auto"/>
            <w:right w:val="none" w:sz="0" w:space="0" w:color="auto"/>
          </w:divBdr>
        </w:div>
      </w:divsChild>
    </w:div>
    <w:div w:id="415827952">
      <w:bodyDiv w:val="1"/>
      <w:marLeft w:val="0"/>
      <w:marRight w:val="0"/>
      <w:marTop w:val="0"/>
      <w:marBottom w:val="0"/>
      <w:divBdr>
        <w:top w:val="none" w:sz="0" w:space="0" w:color="auto"/>
        <w:left w:val="none" w:sz="0" w:space="0" w:color="auto"/>
        <w:bottom w:val="none" w:sz="0" w:space="0" w:color="auto"/>
        <w:right w:val="none" w:sz="0" w:space="0" w:color="auto"/>
      </w:divBdr>
    </w:div>
    <w:div w:id="454175721">
      <w:bodyDiv w:val="1"/>
      <w:marLeft w:val="0"/>
      <w:marRight w:val="0"/>
      <w:marTop w:val="0"/>
      <w:marBottom w:val="0"/>
      <w:divBdr>
        <w:top w:val="none" w:sz="0" w:space="0" w:color="auto"/>
        <w:left w:val="none" w:sz="0" w:space="0" w:color="auto"/>
        <w:bottom w:val="none" w:sz="0" w:space="0" w:color="auto"/>
        <w:right w:val="none" w:sz="0" w:space="0" w:color="auto"/>
      </w:divBdr>
      <w:divsChild>
        <w:div w:id="46488699">
          <w:marLeft w:val="720"/>
          <w:marRight w:val="0"/>
          <w:marTop w:val="40"/>
          <w:marBottom w:val="0"/>
          <w:divBdr>
            <w:top w:val="none" w:sz="0" w:space="0" w:color="auto"/>
            <w:left w:val="none" w:sz="0" w:space="0" w:color="auto"/>
            <w:bottom w:val="none" w:sz="0" w:space="0" w:color="auto"/>
            <w:right w:val="none" w:sz="0" w:space="0" w:color="auto"/>
          </w:divBdr>
        </w:div>
        <w:div w:id="1346245779">
          <w:marLeft w:val="720"/>
          <w:marRight w:val="0"/>
          <w:marTop w:val="40"/>
          <w:marBottom w:val="0"/>
          <w:divBdr>
            <w:top w:val="none" w:sz="0" w:space="0" w:color="auto"/>
            <w:left w:val="none" w:sz="0" w:space="0" w:color="auto"/>
            <w:bottom w:val="none" w:sz="0" w:space="0" w:color="auto"/>
            <w:right w:val="none" w:sz="0" w:space="0" w:color="auto"/>
          </w:divBdr>
        </w:div>
        <w:div w:id="1974554366">
          <w:marLeft w:val="1555"/>
          <w:marRight w:val="0"/>
          <w:marTop w:val="40"/>
          <w:marBottom w:val="0"/>
          <w:divBdr>
            <w:top w:val="none" w:sz="0" w:space="0" w:color="auto"/>
            <w:left w:val="none" w:sz="0" w:space="0" w:color="auto"/>
            <w:bottom w:val="none" w:sz="0" w:space="0" w:color="auto"/>
            <w:right w:val="none" w:sz="0" w:space="0" w:color="auto"/>
          </w:divBdr>
        </w:div>
        <w:div w:id="871696035">
          <w:marLeft w:val="1555"/>
          <w:marRight w:val="0"/>
          <w:marTop w:val="40"/>
          <w:marBottom w:val="0"/>
          <w:divBdr>
            <w:top w:val="none" w:sz="0" w:space="0" w:color="auto"/>
            <w:left w:val="none" w:sz="0" w:space="0" w:color="auto"/>
            <w:bottom w:val="none" w:sz="0" w:space="0" w:color="auto"/>
            <w:right w:val="none" w:sz="0" w:space="0" w:color="auto"/>
          </w:divBdr>
        </w:div>
        <w:div w:id="721901405">
          <w:marLeft w:val="720"/>
          <w:marRight w:val="0"/>
          <w:marTop w:val="40"/>
          <w:marBottom w:val="0"/>
          <w:divBdr>
            <w:top w:val="none" w:sz="0" w:space="0" w:color="auto"/>
            <w:left w:val="none" w:sz="0" w:space="0" w:color="auto"/>
            <w:bottom w:val="none" w:sz="0" w:space="0" w:color="auto"/>
            <w:right w:val="none" w:sz="0" w:space="0" w:color="auto"/>
          </w:divBdr>
        </w:div>
      </w:divsChild>
    </w:div>
    <w:div w:id="516961933">
      <w:bodyDiv w:val="1"/>
      <w:marLeft w:val="0"/>
      <w:marRight w:val="0"/>
      <w:marTop w:val="0"/>
      <w:marBottom w:val="0"/>
      <w:divBdr>
        <w:top w:val="none" w:sz="0" w:space="0" w:color="auto"/>
        <w:left w:val="none" w:sz="0" w:space="0" w:color="auto"/>
        <w:bottom w:val="none" w:sz="0" w:space="0" w:color="auto"/>
        <w:right w:val="none" w:sz="0" w:space="0" w:color="auto"/>
      </w:divBdr>
    </w:div>
    <w:div w:id="575436806">
      <w:bodyDiv w:val="1"/>
      <w:marLeft w:val="0"/>
      <w:marRight w:val="0"/>
      <w:marTop w:val="0"/>
      <w:marBottom w:val="0"/>
      <w:divBdr>
        <w:top w:val="none" w:sz="0" w:space="0" w:color="auto"/>
        <w:left w:val="none" w:sz="0" w:space="0" w:color="auto"/>
        <w:bottom w:val="none" w:sz="0" w:space="0" w:color="auto"/>
        <w:right w:val="none" w:sz="0" w:space="0" w:color="auto"/>
      </w:divBdr>
    </w:div>
    <w:div w:id="582181889">
      <w:bodyDiv w:val="1"/>
      <w:marLeft w:val="0"/>
      <w:marRight w:val="0"/>
      <w:marTop w:val="0"/>
      <w:marBottom w:val="0"/>
      <w:divBdr>
        <w:top w:val="none" w:sz="0" w:space="0" w:color="auto"/>
        <w:left w:val="none" w:sz="0" w:space="0" w:color="auto"/>
        <w:bottom w:val="none" w:sz="0" w:space="0" w:color="auto"/>
        <w:right w:val="none" w:sz="0" w:space="0" w:color="auto"/>
      </w:divBdr>
    </w:div>
    <w:div w:id="635647619">
      <w:bodyDiv w:val="1"/>
      <w:marLeft w:val="0"/>
      <w:marRight w:val="0"/>
      <w:marTop w:val="0"/>
      <w:marBottom w:val="0"/>
      <w:divBdr>
        <w:top w:val="none" w:sz="0" w:space="0" w:color="auto"/>
        <w:left w:val="none" w:sz="0" w:space="0" w:color="auto"/>
        <w:bottom w:val="none" w:sz="0" w:space="0" w:color="auto"/>
        <w:right w:val="none" w:sz="0" w:space="0" w:color="auto"/>
      </w:divBdr>
    </w:div>
    <w:div w:id="648677077">
      <w:bodyDiv w:val="1"/>
      <w:marLeft w:val="0"/>
      <w:marRight w:val="0"/>
      <w:marTop w:val="0"/>
      <w:marBottom w:val="0"/>
      <w:divBdr>
        <w:top w:val="none" w:sz="0" w:space="0" w:color="auto"/>
        <w:left w:val="none" w:sz="0" w:space="0" w:color="auto"/>
        <w:bottom w:val="none" w:sz="0" w:space="0" w:color="auto"/>
        <w:right w:val="none" w:sz="0" w:space="0" w:color="auto"/>
      </w:divBdr>
    </w:div>
    <w:div w:id="663775865">
      <w:bodyDiv w:val="1"/>
      <w:marLeft w:val="0"/>
      <w:marRight w:val="0"/>
      <w:marTop w:val="0"/>
      <w:marBottom w:val="0"/>
      <w:divBdr>
        <w:top w:val="none" w:sz="0" w:space="0" w:color="auto"/>
        <w:left w:val="none" w:sz="0" w:space="0" w:color="auto"/>
        <w:bottom w:val="none" w:sz="0" w:space="0" w:color="auto"/>
        <w:right w:val="none" w:sz="0" w:space="0" w:color="auto"/>
      </w:divBdr>
    </w:div>
    <w:div w:id="668145081">
      <w:bodyDiv w:val="1"/>
      <w:marLeft w:val="0"/>
      <w:marRight w:val="0"/>
      <w:marTop w:val="0"/>
      <w:marBottom w:val="0"/>
      <w:divBdr>
        <w:top w:val="none" w:sz="0" w:space="0" w:color="auto"/>
        <w:left w:val="none" w:sz="0" w:space="0" w:color="auto"/>
        <w:bottom w:val="none" w:sz="0" w:space="0" w:color="auto"/>
        <w:right w:val="none" w:sz="0" w:space="0" w:color="auto"/>
      </w:divBdr>
    </w:div>
    <w:div w:id="672609606">
      <w:bodyDiv w:val="1"/>
      <w:marLeft w:val="0"/>
      <w:marRight w:val="0"/>
      <w:marTop w:val="0"/>
      <w:marBottom w:val="0"/>
      <w:divBdr>
        <w:top w:val="none" w:sz="0" w:space="0" w:color="auto"/>
        <w:left w:val="none" w:sz="0" w:space="0" w:color="auto"/>
        <w:bottom w:val="none" w:sz="0" w:space="0" w:color="auto"/>
        <w:right w:val="none" w:sz="0" w:space="0" w:color="auto"/>
      </w:divBdr>
      <w:divsChild>
        <w:div w:id="330835973">
          <w:marLeft w:val="720"/>
          <w:marRight w:val="0"/>
          <w:marTop w:val="40"/>
          <w:marBottom w:val="0"/>
          <w:divBdr>
            <w:top w:val="none" w:sz="0" w:space="0" w:color="auto"/>
            <w:left w:val="none" w:sz="0" w:space="0" w:color="auto"/>
            <w:bottom w:val="none" w:sz="0" w:space="0" w:color="auto"/>
            <w:right w:val="none" w:sz="0" w:space="0" w:color="auto"/>
          </w:divBdr>
        </w:div>
        <w:div w:id="841511606">
          <w:marLeft w:val="720"/>
          <w:marRight w:val="0"/>
          <w:marTop w:val="40"/>
          <w:marBottom w:val="0"/>
          <w:divBdr>
            <w:top w:val="none" w:sz="0" w:space="0" w:color="auto"/>
            <w:left w:val="none" w:sz="0" w:space="0" w:color="auto"/>
            <w:bottom w:val="none" w:sz="0" w:space="0" w:color="auto"/>
            <w:right w:val="none" w:sz="0" w:space="0" w:color="auto"/>
          </w:divBdr>
        </w:div>
        <w:div w:id="873032712">
          <w:marLeft w:val="720"/>
          <w:marRight w:val="0"/>
          <w:marTop w:val="40"/>
          <w:marBottom w:val="0"/>
          <w:divBdr>
            <w:top w:val="none" w:sz="0" w:space="0" w:color="auto"/>
            <w:left w:val="none" w:sz="0" w:space="0" w:color="auto"/>
            <w:bottom w:val="none" w:sz="0" w:space="0" w:color="auto"/>
            <w:right w:val="none" w:sz="0" w:space="0" w:color="auto"/>
          </w:divBdr>
        </w:div>
        <w:div w:id="988439033">
          <w:marLeft w:val="1555"/>
          <w:marRight w:val="0"/>
          <w:marTop w:val="40"/>
          <w:marBottom w:val="0"/>
          <w:divBdr>
            <w:top w:val="none" w:sz="0" w:space="0" w:color="auto"/>
            <w:left w:val="none" w:sz="0" w:space="0" w:color="auto"/>
            <w:bottom w:val="none" w:sz="0" w:space="0" w:color="auto"/>
            <w:right w:val="none" w:sz="0" w:space="0" w:color="auto"/>
          </w:divBdr>
        </w:div>
      </w:divsChild>
    </w:div>
    <w:div w:id="680352853">
      <w:bodyDiv w:val="1"/>
      <w:marLeft w:val="0"/>
      <w:marRight w:val="0"/>
      <w:marTop w:val="0"/>
      <w:marBottom w:val="0"/>
      <w:divBdr>
        <w:top w:val="none" w:sz="0" w:space="0" w:color="auto"/>
        <w:left w:val="none" w:sz="0" w:space="0" w:color="auto"/>
        <w:bottom w:val="none" w:sz="0" w:space="0" w:color="auto"/>
        <w:right w:val="none" w:sz="0" w:space="0" w:color="auto"/>
      </w:divBdr>
      <w:divsChild>
        <w:div w:id="139158596">
          <w:marLeft w:val="720"/>
          <w:marRight w:val="0"/>
          <w:marTop w:val="40"/>
          <w:marBottom w:val="0"/>
          <w:divBdr>
            <w:top w:val="none" w:sz="0" w:space="0" w:color="auto"/>
            <w:left w:val="none" w:sz="0" w:space="0" w:color="auto"/>
            <w:bottom w:val="none" w:sz="0" w:space="0" w:color="auto"/>
            <w:right w:val="none" w:sz="0" w:space="0" w:color="auto"/>
          </w:divBdr>
        </w:div>
        <w:div w:id="267197584">
          <w:marLeft w:val="1555"/>
          <w:marRight w:val="0"/>
          <w:marTop w:val="40"/>
          <w:marBottom w:val="0"/>
          <w:divBdr>
            <w:top w:val="none" w:sz="0" w:space="0" w:color="auto"/>
            <w:left w:val="none" w:sz="0" w:space="0" w:color="auto"/>
            <w:bottom w:val="none" w:sz="0" w:space="0" w:color="auto"/>
            <w:right w:val="none" w:sz="0" w:space="0" w:color="auto"/>
          </w:divBdr>
        </w:div>
        <w:div w:id="377777337">
          <w:marLeft w:val="720"/>
          <w:marRight w:val="0"/>
          <w:marTop w:val="40"/>
          <w:marBottom w:val="0"/>
          <w:divBdr>
            <w:top w:val="none" w:sz="0" w:space="0" w:color="auto"/>
            <w:left w:val="none" w:sz="0" w:space="0" w:color="auto"/>
            <w:bottom w:val="none" w:sz="0" w:space="0" w:color="auto"/>
            <w:right w:val="none" w:sz="0" w:space="0" w:color="auto"/>
          </w:divBdr>
        </w:div>
        <w:div w:id="617952433">
          <w:marLeft w:val="1555"/>
          <w:marRight w:val="0"/>
          <w:marTop w:val="40"/>
          <w:marBottom w:val="0"/>
          <w:divBdr>
            <w:top w:val="none" w:sz="0" w:space="0" w:color="auto"/>
            <w:left w:val="none" w:sz="0" w:space="0" w:color="auto"/>
            <w:bottom w:val="none" w:sz="0" w:space="0" w:color="auto"/>
            <w:right w:val="none" w:sz="0" w:space="0" w:color="auto"/>
          </w:divBdr>
        </w:div>
        <w:div w:id="702635378">
          <w:marLeft w:val="720"/>
          <w:marRight w:val="0"/>
          <w:marTop w:val="40"/>
          <w:marBottom w:val="0"/>
          <w:divBdr>
            <w:top w:val="none" w:sz="0" w:space="0" w:color="auto"/>
            <w:left w:val="none" w:sz="0" w:space="0" w:color="auto"/>
            <w:bottom w:val="none" w:sz="0" w:space="0" w:color="auto"/>
            <w:right w:val="none" w:sz="0" w:space="0" w:color="auto"/>
          </w:divBdr>
        </w:div>
        <w:div w:id="1259633043">
          <w:marLeft w:val="1555"/>
          <w:marRight w:val="0"/>
          <w:marTop w:val="40"/>
          <w:marBottom w:val="0"/>
          <w:divBdr>
            <w:top w:val="none" w:sz="0" w:space="0" w:color="auto"/>
            <w:left w:val="none" w:sz="0" w:space="0" w:color="auto"/>
            <w:bottom w:val="none" w:sz="0" w:space="0" w:color="auto"/>
            <w:right w:val="none" w:sz="0" w:space="0" w:color="auto"/>
          </w:divBdr>
        </w:div>
        <w:div w:id="1410350676">
          <w:marLeft w:val="720"/>
          <w:marRight w:val="0"/>
          <w:marTop w:val="40"/>
          <w:marBottom w:val="0"/>
          <w:divBdr>
            <w:top w:val="none" w:sz="0" w:space="0" w:color="auto"/>
            <w:left w:val="none" w:sz="0" w:space="0" w:color="auto"/>
            <w:bottom w:val="none" w:sz="0" w:space="0" w:color="auto"/>
            <w:right w:val="none" w:sz="0" w:space="0" w:color="auto"/>
          </w:divBdr>
        </w:div>
        <w:div w:id="1943494218">
          <w:marLeft w:val="1555"/>
          <w:marRight w:val="0"/>
          <w:marTop w:val="40"/>
          <w:marBottom w:val="0"/>
          <w:divBdr>
            <w:top w:val="none" w:sz="0" w:space="0" w:color="auto"/>
            <w:left w:val="none" w:sz="0" w:space="0" w:color="auto"/>
            <w:bottom w:val="none" w:sz="0" w:space="0" w:color="auto"/>
            <w:right w:val="none" w:sz="0" w:space="0" w:color="auto"/>
          </w:divBdr>
        </w:div>
      </w:divsChild>
    </w:div>
    <w:div w:id="767117573">
      <w:bodyDiv w:val="1"/>
      <w:marLeft w:val="0"/>
      <w:marRight w:val="0"/>
      <w:marTop w:val="0"/>
      <w:marBottom w:val="0"/>
      <w:divBdr>
        <w:top w:val="none" w:sz="0" w:space="0" w:color="auto"/>
        <w:left w:val="none" w:sz="0" w:space="0" w:color="auto"/>
        <w:bottom w:val="none" w:sz="0" w:space="0" w:color="auto"/>
        <w:right w:val="none" w:sz="0" w:space="0" w:color="auto"/>
      </w:divBdr>
    </w:div>
    <w:div w:id="830099127">
      <w:bodyDiv w:val="1"/>
      <w:marLeft w:val="0"/>
      <w:marRight w:val="0"/>
      <w:marTop w:val="0"/>
      <w:marBottom w:val="0"/>
      <w:divBdr>
        <w:top w:val="none" w:sz="0" w:space="0" w:color="auto"/>
        <w:left w:val="none" w:sz="0" w:space="0" w:color="auto"/>
        <w:bottom w:val="none" w:sz="0" w:space="0" w:color="auto"/>
        <w:right w:val="none" w:sz="0" w:space="0" w:color="auto"/>
      </w:divBdr>
    </w:div>
    <w:div w:id="840972660">
      <w:bodyDiv w:val="1"/>
      <w:marLeft w:val="0"/>
      <w:marRight w:val="0"/>
      <w:marTop w:val="0"/>
      <w:marBottom w:val="0"/>
      <w:divBdr>
        <w:top w:val="none" w:sz="0" w:space="0" w:color="auto"/>
        <w:left w:val="none" w:sz="0" w:space="0" w:color="auto"/>
        <w:bottom w:val="none" w:sz="0" w:space="0" w:color="auto"/>
        <w:right w:val="none" w:sz="0" w:space="0" w:color="auto"/>
      </w:divBdr>
    </w:div>
    <w:div w:id="880702808">
      <w:bodyDiv w:val="1"/>
      <w:marLeft w:val="0"/>
      <w:marRight w:val="0"/>
      <w:marTop w:val="0"/>
      <w:marBottom w:val="0"/>
      <w:divBdr>
        <w:top w:val="none" w:sz="0" w:space="0" w:color="auto"/>
        <w:left w:val="none" w:sz="0" w:space="0" w:color="auto"/>
        <w:bottom w:val="none" w:sz="0" w:space="0" w:color="auto"/>
        <w:right w:val="none" w:sz="0" w:space="0" w:color="auto"/>
      </w:divBdr>
      <w:divsChild>
        <w:div w:id="317925021">
          <w:marLeft w:val="1555"/>
          <w:marRight w:val="0"/>
          <w:marTop w:val="40"/>
          <w:marBottom w:val="0"/>
          <w:divBdr>
            <w:top w:val="none" w:sz="0" w:space="0" w:color="auto"/>
            <w:left w:val="none" w:sz="0" w:space="0" w:color="auto"/>
            <w:bottom w:val="none" w:sz="0" w:space="0" w:color="auto"/>
            <w:right w:val="none" w:sz="0" w:space="0" w:color="auto"/>
          </w:divBdr>
        </w:div>
        <w:div w:id="360014879">
          <w:marLeft w:val="720"/>
          <w:marRight w:val="0"/>
          <w:marTop w:val="40"/>
          <w:marBottom w:val="0"/>
          <w:divBdr>
            <w:top w:val="none" w:sz="0" w:space="0" w:color="auto"/>
            <w:left w:val="none" w:sz="0" w:space="0" w:color="auto"/>
            <w:bottom w:val="none" w:sz="0" w:space="0" w:color="auto"/>
            <w:right w:val="none" w:sz="0" w:space="0" w:color="auto"/>
          </w:divBdr>
        </w:div>
        <w:div w:id="991326743">
          <w:marLeft w:val="1555"/>
          <w:marRight w:val="0"/>
          <w:marTop w:val="40"/>
          <w:marBottom w:val="0"/>
          <w:divBdr>
            <w:top w:val="none" w:sz="0" w:space="0" w:color="auto"/>
            <w:left w:val="none" w:sz="0" w:space="0" w:color="auto"/>
            <w:bottom w:val="none" w:sz="0" w:space="0" w:color="auto"/>
            <w:right w:val="none" w:sz="0" w:space="0" w:color="auto"/>
          </w:divBdr>
        </w:div>
        <w:div w:id="1468547385">
          <w:marLeft w:val="720"/>
          <w:marRight w:val="0"/>
          <w:marTop w:val="40"/>
          <w:marBottom w:val="0"/>
          <w:divBdr>
            <w:top w:val="none" w:sz="0" w:space="0" w:color="auto"/>
            <w:left w:val="none" w:sz="0" w:space="0" w:color="auto"/>
            <w:bottom w:val="none" w:sz="0" w:space="0" w:color="auto"/>
            <w:right w:val="none" w:sz="0" w:space="0" w:color="auto"/>
          </w:divBdr>
        </w:div>
        <w:div w:id="1697000476">
          <w:marLeft w:val="720"/>
          <w:marRight w:val="0"/>
          <w:marTop w:val="40"/>
          <w:marBottom w:val="0"/>
          <w:divBdr>
            <w:top w:val="none" w:sz="0" w:space="0" w:color="auto"/>
            <w:left w:val="none" w:sz="0" w:space="0" w:color="auto"/>
            <w:bottom w:val="none" w:sz="0" w:space="0" w:color="auto"/>
            <w:right w:val="none" w:sz="0" w:space="0" w:color="auto"/>
          </w:divBdr>
        </w:div>
      </w:divsChild>
    </w:div>
    <w:div w:id="1008020070">
      <w:bodyDiv w:val="1"/>
      <w:marLeft w:val="0"/>
      <w:marRight w:val="0"/>
      <w:marTop w:val="0"/>
      <w:marBottom w:val="0"/>
      <w:divBdr>
        <w:top w:val="none" w:sz="0" w:space="0" w:color="auto"/>
        <w:left w:val="none" w:sz="0" w:space="0" w:color="auto"/>
        <w:bottom w:val="none" w:sz="0" w:space="0" w:color="auto"/>
        <w:right w:val="none" w:sz="0" w:space="0" w:color="auto"/>
      </w:divBdr>
    </w:div>
    <w:div w:id="1051269340">
      <w:bodyDiv w:val="1"/>
      <w:marLeft w:val="0"/>
      <w:marRight w:val="0"/>
      <w:marTop w:val="0"/>
      <w:marBottom w:val="0"/>
      <w:divBdr>
        <w:top w:val="none" w:sz="0" w:space="0" w:color="auto"/>
        <w:left w:val="none" w:sz="0" w:space="0" w:color="auto"/>
        <w:bottom w:val="none" w:sz="0" w:space="0" w:color="auto"/>
        <w:right w:val="none" w:sz="0" w:space="0" w:color="auto"/>
      </w:divBdr>
    </w:div>
    <w:div w:id="1073309376">
      <w:bodyDiv w:val="1"/>
      <w:marLeft w:val="0"/>
      <w:marRight w:val="0"/>
      <w:marTop w:val="0"/>
      <w:marBottom w:val="0"/>
      <w:divBdr>
        <w:top w:val="none" w:sz="0" w:space="0" w:color="auto"/>
        <w:left w:val="none" w:sz="0" w:space="0" w:color="auto"/>
        <w:bottom w:val="none" w:sz="0" w:space="0" w:color="auto"/>
        <w:right w:val="none" w:sz="0" w:space="0" w:color="auto"/>
      </w:divBdr>
    </w:div>
    <w:div w:id="1231429158">
      <w:bodyDiv w:val="1"/>
      <w:marLeft w:val="0"/>
      <w:marRight w:val="0"/>
      <w:marTop w:val="0"/>
      <w:marBottom w:val="0"/>
      <w:divBdr>
        <w:top w:val="none" w:sz="0" w:space="0" w:color="auto"/>
        <w:left w:val="none" w:sz="0" w:space="0" w:color="auto"/>
        <w:bottom w:val="none" w:sz="0" w:space="0" w:color="auto"/>
        <w:right w:val="none" w:sz="0" w:space="0" w:color="auto"/>
      </w:divBdr>
    </w:div>
    <w:div w:id="1340039431">
      <w:bodyDiv w:val="1"/>
      <w:marLeft w:val="0"/>
      <w:marRight w:val="0"/>
      <w:marTop w:val="0"/>
      <w:marBottom w:val="0"/>
      <w:divBdr>
        <w:top w:val="none" w:sz="0" w:space="0" w:color="auto"/>
        <w:left w:val="none" w:sz="0" w:space="0" w:color="auto"/>
        <w:bottom w:val="none" w:sz="0" w:space="0" w:color="auto"/>
        <w:right w:val="none" w:sz="0" w:space="0" w:color="auto"/>
      </w:divBdr>
    </w:div>
    <w:div w:id="1414206825">
      <w:bodyDiv w:val="1"/>
      <w:marLeft w:val="0"/>
      <w:marRight w:val="0"/>
      <w:marTop w:val="0"/>
      <w:marBottom w:val="0"/>
      <w:divBdr>
        <w:top w:val="none" w:sz="0" w:space="0" w:color="auto"/>
        <w:left w:val="none" w:sz="0" w:space="0" w:color="auto"/>
        <w:bottom w:val="none" w:sz="0" w:space="0" w:color="auto"/>
        <w:right w:val="none" w:sz="0" w:space="0" w:color="auto"/>
      </w:divBdr>
    </w:div>
    <w:div w:id="1425809640">
      <w:bodyDiv w:val="1"/>
      <w:marLeft w:val="0"/>
      <w:marRight w:val="0"/>
      <w:marTop w:val="0"/>
      <w:marBottom w:val="0"/>
      <w:divBdr>
        <w:top w:val="none" w:sz="0" w:space="0" w:color="auto"/>
        <w:left w:val="none" w:sz="0" w:space="0" w:color="auto"/>
        <w:bottom w:val="none" w:sz="0" w:space="0" w:color="auto"/>
        <w:right w:val="none" w:sz="0" w:space="0" w:color="auto"/>
      </w:divBdr>
      <w:divsChild>
        <w:div w:id="1392122251">
          <w:marLeft w:val="720"/>
          <w:marRight w:val="0"/>
          <w:marTop w:val="40"/>
          <w:marBottom w:val="0"/>
          <w:divBdr>
            <w:top w:val="none" w:sz="0" w:space="0" w:color="auto"/>
            <w:left w:val="none" w:sz="0" w:space="0" w:color="auto"/>
            <w:bottom w:val="none" w:sz="0" w:space="0" w:color="auto"/>
            <w:right w:val="none" w:sz="0" w:space="0" w:color="auto"/>
          </w:divBdr>
        </w:div>
        <w:div w:id="1848329746">
          <w:marLeft w:val="720"/>
          <w:marRight w:val="0"/>
          <w:marTop w:val="40"/>
          <w:marBottom w:val="0"/>
          <w:divBdr>
            <w:top w:val="none" w:sz="0" w:space="0" w:color="auto"/>
            <w:left w:val="none" w:sz="0" w:space="0" w:color="auto"/>
            <w:bottom w:val="none" w:sz="0" w:space="0" w:color="auto"/>
            <w:right w:val="none" w:sz="0" w:space="0" w:color="auto"/>
          </w:divBdr>
        </w:div>
        <w:div w:id="1790777903">
          <w:marLeft w:val="1555"/>
          <w:marRight w:val="0"/>
          <w:marTop w:val="40"/>
          <w:marBottom w:val="0"/>
          <w:divBdr>
            <w:top w:val="none" w:sz="0" w:space="0" w:color="auto"/>
            <w:left w:val="none" w:sz="0" w:space="0" w:color="auto"/>
            <w:bottom w:val="none" w:sz="0" w:space="0" w:color="auto"/>
            <w:right w:val="none" w:sz="0" w:space="0" w:color="auto"/>
          </w:divBdr>
        </w:div>
        <w:div w:id="179391125">
          <w:marLeft w:val="1555"/>
          <w:marRight w:val="0"/>
          <w:marTop w:val="40"/>
          <w:marBottom w:val="0"/>
          <w:divBdr>
            <w:top w:val="none" w:sz="0" w:space="0" w:color="auto"/>
            <w:left w:val="none" w:sz="0" w:space="0" w:color="auto"/>
            <w:bottom w:val="none" w:sz="0" w:space="0" w:color="auto"/>
            <w:right w:val="none" w:sz="0" w:space="0" w:color="auto"/>
          </w:divBdr>
        </w:div>
      </w:divsChild>
    </w:div>
    <w:div w:id="1455908268">
      <w:bodyDiv w:val="1"/>
      <w:marLeft w:val="0"/>
      <w:marRight w:val="0"/>
      <w:marTop w:val="0"/>
      <w:marBottom w:val="0"/>
      <w:divBdr>
        <w:top w:val="none" w:sz="0" w:space="0" w:color="auto"/>
        <w:left w:val="none" w:sz="0" w:space="0" w:color="auto"/>
        <w:bottom w:val="none" w:sz="0" w:space="0" w:color="auto"/>
        <w:right w:val="none" w:sz="0" w:space="0" w:color="auto"/>
      </w:divBdr>
    </w:div>
    <w:div w:id="1504051960">
      <w:bodyDiv w:val="1"/>
      <w:marLeft w:val="0"/>
      <w:marRight w:val="0"/>
      <w:marTop w:val="0"/>
      <w:marBottom w:val="0"/>
      <w:divBdr>
        <w:top w:val="none" w:sz="0" w:space="0" w:color="auto"/>
        <w:left w:val="none" w:sz="0" w:space="0" w:color="auto"/>
        <w:bottom w:val="none" w:sz="0" w:space="0" w:color="auto"/>
        <w:right w:val="none" w:sz="0" w:space="0" w:color="auto"/>
      </w:divBdr>
      <w:divsChild>
        <w:div w:id="61412202">
          <w:marLeft w:val="720"/>
          <w:marRight w:val="0"/>
          <w:marTop w:val="40"/>
          <w:marBottom w:val="0"/>
          <w:divBdr>
            <w:top w:val="none" w:sz="0" w:space="0" w:color="auto"/>
            <w:left w:val="none" w:sz="0" w:space="0" w:color="auto"/>
            <w:bottom w:val="none" w:sz="0" w:space="0" w:color="auto"/>
            <w:right w:val="none" w:sz="0" w:space="0" w:color="auto"/>
          </w:divBdr>
        </w:div>
        <w:div w:id="459301698">
          <w:marLeft w:val="720"/>
          <w:marRight w:val="0"/>
          <w:marTop w:val="40"/>
          <w:marBottom w:val="0"/>
          <w:divBdr>
            <w:top w:val="none" w:sz="0" w:space="0" w:color="auto"/>
            <w:left w:val="none" w:sz="0" w:space="0" w:color="auto"/>
            <w:bottom w:val="none" w:sz="0" w:space="0" w:color="auto"/>
            <w:right w:val="none" w:sz="0" w:space="0" w:color="auto"/>
          </w:divBdr>
        </w:div>
        <w:div w:id="1130172580">
          <w:marLeft w:val="1555"/>
          <w:marRight w:val="0"/>
          <w:marTop w:val="40"/>
          <w:marBottom w:val="0"/>
          <w:divBdr>
            <w:top w:val="none" w:sz="0" w:space="0" w:color="auto"/>
            <w:left w:val="none" w:sz="0" w:space="0" w:color="auto"/>
            <w:bottom w:val="none" w:sz="0" w:space="0" w:color="auto"/>
            <w:right w:val="none" w:sz="0" w:space="0" w:color="auto"/>
          </w:divBdr>
        </w:div>
        <w:div w:id="1218324543">
          <w:marLeft w:val="720"/>
          <w:marRight w:val="0"/>
          <w:marTop w:val="40"/>
          <w:marBottom w:val="0"/>
          <w:divBdr>
            <w:top w:val="none" w:sz="0" w:space="0" w:color="auto"/>
            <w:left w:val="none" w:sz="0" w:space="0" w:color="auto"/>
            <w:bottom w:val="none" w:sz="0" w:space="0" w:color="auto"/>
            <w:right w:val="none" w:sz="0" w:space="0" w:color="auto"/>
          </w:divBdr>
        </w:div>
        <w:div w:id="1951620838">
          <w:marLeft w:val="1555"/>
          <w:marRight w:val="0"/>
          <w:marTop w:val="40"/>
          <w:marBottom w:val="0"/>
          <w:divBdr>
            <w:top w:val="none" w:sz="0" w:space="0" w:color="auto"/>
            <w:left w:val="none" w:sz="0" w:space="0" w:color="auto"/>
            <w:bottom w:val="none" w:sz="0" w:space="0" w:color="auto"/>
            <w:right w:val="none" w:sz="0" w:space="0" w:color="auto"/>
          </w:divBdr>
        </w:div>
      </w:divsChild>
    </w:div>
    <w:div w:id="1515807484">
      <w:bodyDiv w:val="1"/>
      <w:marLeft w:val="0"/>
      <w:marRight w:val="0"/>
      <w:marTop w:val="0"/>
      <w:marBottom w:val="0"/>
      <w:divBdr>
        <w:top w:val="none" w:sz="0" w:space="0" w:color="auto"/>
        <w:left w:val="none" w:sz="0" w:space="0" w:color="auto"/>
        <w:bottom w:val="none" w:sz="0" w:space="0" w:color="auto"/>
        <w:right w:val="none" w:sz="0" w:space="0" w:color="auto"/>
      </w:divBdr>
    </w:div>
    <w:div w:id="1515880287">
      <w:bodyDiv w:val="1"/>
      <w:marLeft w:val="0"/>
      <w:marRight w:val="0"/>
      <w:marTop w:val="0"/>
      <w:marBottom w:val="0"/>
      <w:divBdr>
        <w:top w:val="none" w:sz="0" w:space="0" w:color="auto"/>
        <w:left w:val="none" w:sz="0" w:space="0" w:color="auto"/>
        <w:bottom w:val="none" w:sz="0" w:space="0" w:color="auto"/>
        <w:right w:val="none" w:sz="0" w:space="0" w:color="auto"/>
      </w:divBdr>
    </w:div>
    <w:div w:id="1521426971">
      <w:bodyDiv w:val="1"/>
      <w:marLeft w:val="0"/>
      <w:marRight w:val="0"/>
      <w:marTop w:val="0"/>
      <w:marBottom w:val="0"/>
      <w:divBdr>
        <w:top w:val="none" w:sz="0" w:space="0" w:color="auto"/>
        <w:left w:val="none" w:sz="0" w:space="0" w:color="auto"/>
        <w:bottom w:val="none" w:sz="0" w:space="0" w:color="auto"/>
        <w:right w:val="none" w:sz="0" w:space="0" w:color="auto"/>
      </w:divBdr>
      <w:divsChild>
        <w:div w:id="1344429168">
          <w:marLeft w:val="720"/>
          <w:marRight w:val="0"/>
          <w:marTop w:val="40"/>
          <w:marBottom w:val="0"/>
          <w:divBdr>
            <w:top w:val="none" w:sz="0" w:space="0" w:color="auto"/>
            <w:left w:val="none" w:sz="0" w:space="0" w:color="auto"/>
            <w:bottom w:val="none" w:sz="0" w:space="0" w:color="auto"/>
            <w:right w:val="none" w:sz="0" w:space="0" w:color="auto"/>
          </w:divBdr>
        </w:div>
      </w:divsChild>
    </w:div>
    <w:div w:id="1526209469">
      <w:bodyDiv w:val="1"/>
      <w:marLeft w:val="0"/>
      <w:marRight w:val="0"/>
      <w:marTop w:val="0"/>
      <w:marBottom w:val="0"/>
      <w:divBdr>
        <w:top w:val="none" w:sz="0" w:space="0" w:color="auto"/>
        <w:left w:val="none" w:sz="0" w:space="0" w:color="auto"/>
        <w:bottom w:val="none" w:sz="0" w:space="0" w:color="auto"/>
        <w:right w:val="none" w:sz="0" w:space="0" w:color="auto"/>
      </w:divBdr>
    </w:div>
    <w:div w:id="1548444509">
      <w:bodyDiv w:val="1"/>
      <w:marLeft w:val="0"/>
      <w:marRight w:val="0"/>
      <w:marTop w:val="0"/>
      <w:marBottom w:val="0"/>
      <w:divBdr>
        <w:top w:val="none" w:sz="0" w:space="0" w:color="auto"/>
        <w:left w:val="none" w:sz="0" w:space="0" w:color="auto"/>
        <w:bottom w:val="none" w:sz="0" w:space="0" w:color="auto"/>
        <w:right w:val="none" w:sz="0" w:space="0" w:color="auto"/>
      </w:divBdr>
      <w:divsChild>
        <w:div w:id="502358891">
          <w:marLeft w:val="720"/>
          <w:marRight w:val="0"/>
          <w:marTop w:val="40"/>
          <w:marBottom w:val="0"/>
          <w:divBdr>
            <w:top w:val="none" w:sz="0" w:space="0" w:color="auto"/>
            <w:left w:val="none" w:sz="0" w:space="0" w:color="auto"/>
            <w:bottom w:val="none" w:sz="0" w:space="0" w:color="auto"/>
            <w:right w:val="none" w:sz="0" w:space="0" w:color="auto"/>
          </w:divBdr>
        </w:div>
        <w:div w:id="1003317401">
          <w:marLeft w:val="720"/>
          <w:marRight w:val="0"/>
          <w:marTop w:val="40"/>
          <w:marBottom w:val="0"/>
          <w:divBdr>
            <w:top w:val="none" w:sz="0" w:space="0" w:color="auto"/>
            <w:left w:val="none" w:sz="0" w:space="0" w:color="auto"/>
            <w:bottom w:val="none" w:sz="0" w:space="0" w:color="auto"/>
            <w:right w:val="none" w:sz="0" w:space="0" w:color="auto"/>
          </w:divBdr>
        </w:div>
        <w:div w:id="1668896097">
          <w:marLeft w:val="720"/>
          <w:marRight w:val="0"/>
          <w:marTop w:val="40"/>
          <w:marBottom w:val="0"/>
          <w:divBdr>
            <w:top w:val="none" w:sz="0" w:space="0" w:color="auto"/>
            <w:left w:val="none" w:sz="0" w:space="0" w:color="auto"/>
            <w:bottom w:val="none" w:sz="0" w:space="0" w:color="auto"/>
            <w:right w:val="none" w:sz="0" w:space="0" w:color="auto"/>
          </w:divBdr>
        </w:div>
        <w:div w:id="1898086094">
          <w:marLeft w:val="720"/>
          <w:marRight w:val="0"/>
          <w:marTop w:val="40"/>
          <w:marBottom w:val="0"/>
          <w:divBdr>
            <w:top w:val="none" w:sz="0" w:space="0" w:color="auto"/>
            <w:left w:val="none" w:sz="0" w:space="0" w:color="auto"/>
            <w:bottom w:val="none" w:sz="0" w:space="0" w:color="auto"/>
            <w:right w:val="none" w:sz="0" w:space="0" w:color="auto"/>
          </w:divBdr>
        </w:div>
        <w:div w:id="1901789901">
          <w:marLeft w:val="1555"/>
          <w:marRight w:val="0"/>
          <w:marTop w:val="40"/>
          <w:marBottom w:val="0"/>
          <w:divBdr>
            <w:top w:val="none" w:sz="0" w:space="0" w:color="auto"/>
            <w:left w:val="none" w:sz="0" w:space="0" w:color="auto"/>
            <w:bottom w:val="none" w:sz="0" w:space="0" w:color="auto"/>
            <w:right w:val="none" w:sz="0" w:space="0" w:color="auto"/>
          </w:divBdr>
        </w:div>
      </w:divsChild>
    </w:div>
    <w:div w:id="1551382040">
      <w:bodyDiv w:val="1"/>
      <w:marLeft w:val="0"/>
      <w:marRight w:val="0"/>
      <w:marTop w:val="0"/>
      <w:marBottom w:val="0"/>
      <w:divBdr>
        <w:top w:val="none" w:sz="0" w:space="0" w:color="auto"/>
        <w:left w:val="none" w:sz="0" w:space="0" w:color="auto"/>
        <w:bottom w:val="none" w:sz="0" w:space="0" w:color="auto"/>
        <w:right w:val="none" w:sz="0" w:space="0" w:color="auto"/>
      </w:divBdr>
      <w:divsChild>
        <w:div w:id="1646398914">
          <w:marLeft w:val="720"/>
          <w:marRight w:val="0"/>
          <w:marTop w:val="40"/>
          <w:marBottom w:val="0"/>
          <w:divBdr>
            <w:top w:val="none" w:sz="0" w:space="0" w:color="auto"/>
            <w:left w:val="none" w:sz="0" w:space="0" w:color="auto"/>
            <w:bottom w:val="none" w:sz="0" w:space="0" w:color="auto"/>
            <w:right w:val="none" w:sz="0" w:space="0" w:color="auto"/>
          </w:divBdr>
        </w:div>
        <w:div w:id="1944530009">
          <w:marLeft w:val="720"/>
          <w:marRight w:val="0"/>
          <w:marTop w:val="40"/>
          <w:marBottom w:val="0"/>
          <w:divBdr>
            <w:top w:val="none" w:sz="0" w:space="0" w:color="auto"/>
            <w:left w:val="none" w:sz="0" w:space="0" w:color="auto"/>
            <w:bottom w:val="none" w:sz="0" w:space="0" w:color="auto"/>
            <w:right w:val="none" w:sz="0" w:space="0" w:color="auto"/>
          </w:divBdr>
        </w:div>
      </w:divsChild>
    </w:div>
    <w:div w:id="1581450875">
      <w:bodyDiv w:val="1"/>
      <w:marLeft w:val="0"/>
      <w:marRight w:val="0"/>
      <w:marTop w:val="0"/>
      <w:marBottom w:val="0"/>
      <w:divBdr>
        <w:top w:val="none" w:sz="0" w:space="0" w:color="auto"/>
        <w:left w:val="none" w:sz="0" w:space="0" w:color="auto"/>
        <w:bottom w:val="none" w:sz="0" w:space="0" w:color="auto"/>
        <w:right w:val="none" w:sz="0" w:space="0" w:color="auto"/>
      </w:divBdr>
      <w:divsChild>
        <w:div w:id="321859026">
          <w:marLeft w:val="720"/>
          <w:marRight w:val="0"/>
          <w:marTop w:val="40"/>
          <w:marBottom w:val="0"/>
          <w:divBdr>
            <w:top w:val="none" w:sz="0" w:space="0" w:color="auto"/>
            <w:left w:val="none" w:sz="0" w:space="0" w:color="auto"/>
            <w:bottom w:val="none" w:sz="0" w:space="0" w:color="auto"/>
            <w:right w:val="none" w:sz="0" w:space="0" w:color="auto"/>
          </w:divBdr>
        </w:div>
        <w:div w:id="435833414">
          <w:marLeft w:val="720"/>
          <w:marRight w:val="0"/>
          <w:marTop w:val="40"/>
          <w:marBottom w:val="0"/>
          <w:divBdr>
            <w:top w:val="none" w:sz="0" w:space="0" w:color="auto"/>
            <w:left w:val="none" w:sz="0" w:space="0" w:color="auto"/>
            <w:bottom w:val="none" w:sz="0" w:space="0" w:color="auto"/>
            <w:right w:val="none" w:sz="0" w:space="0" w:color="auto"/>
          </w:divBdr>
        </w:div>
        <w:div w:id="626274791">
          <w:marLeft w:val="1555"/>
          <w:marRight w:val="0"/>
          <w:marTop w:val="40"/>
          <w:marBottom w:val="0"/>
          <w:divBdr>
            <w:top w:val="none" w:sz="0" w:space="0" w:color="auto"/>
            <w:left w:val="none" w:sz="0" w:space="0" w:color="auto"/>
            <w:bottom w:val="none" w:sz="0" w:space="0" w:color="auto"/>
            <w:right w:val="none" w:sz="0" w:space="0" w:color="auto"/>
          </w:divBdr>
        </w:div>
        <w:div w:id="1124886873">
          <w:marLeft w:val="720"/>
          <w:marRight w:val="0"/>
          <w:marTop w:val="40"/>
          <w:marBottom w:val="0"/>
          <w:divBdr>
            <w:top w:val="none" w:sz="0" w:space="0" w:color="auto"/>
            <w:left w:val="none" w:sz="0" w:space="0" w:color="auto"/>
            <w:bottom w:val="none" w:sz="0" w:space="0" w:color="auto"/>
            <w:right w:val="none" w:sz="0" w:space="0" w:color="auto"/>
          </w:divBdr>
        </w:div>
        <w:div w:id="1428229158">
          <w:marLeft w:val="720"/>
          <w:marRight w:val="0"/>
          <w:marTop w:val="40"/>
          <w:marBottom w:val="0"/>
          <w:divBdr>
            <w:top w:val="none" w:sz="0" w:space="0" w:color="auto"/>
            <w:left w:val="none" w:sz="0" w:space="0" w:color="auto"/>
            <w:bottom w:val="none" w:sz="0" w:space="0" w:color="auto"/>
            <w:right w:val="none" w:sz="0" w:space="0" w:color="auto"/>
          </w:divBdr>
        </w:div>
        <w:div w:id="2117674013">
          <w:marLeft w:val="1555"/>
          <w:marRight w:val="0"/>
          <w:marTop w:val="40"/>
          <w:marBottom w:val="0"/>
          <w:divBdr>
            <w:top w:val="none" w:sz="0" w:space="0" w:color="auto"/>
            <w:left w:val="none" w:sz="0" w:space="0" w:color="auto"/>
            <w:bottom w:val="none" w:sz="0" w:space="0" w:color="auto"/>
            <w:right w:val="none" w:sz="0" w:space="0" w:color="auto"/>
          </w:divBdr>
        </w:div>
      </w:divsChild>
    </w:div>
    <w:div w:id="1591423695">
      <w:bodyDiv w:val="1"/>
      <w:marLeft w:val="0"/>
      <w:marRight w:val="0"/>
      <w:marTop w:val="0"/>
      <w:marBottom w:val="0"/>
      <w:divBdr>
        <w:top w:val="none" w:sz="0" w:space="0" w:color="auto"/>
        <w:left w:val="none" w:sz="0" w:space="0" w:color="auto"/>
        <w:bottom w:val="none" w:sz="0" w:space="0" w:color="auto"/>
        <w:right w:val="none" w:sz="0" w:space="0" w:color="auto"/>
      </w:divBdr>
      <w:divsChild>
        <w:div w:id="1827628308">
          <w:marLeft w:val="446"/>
          <w:marRight w:val="0"/>
          <w:marTop w:val="0"/>
          <w:marBottom w:val="0"/>
          <w:divBdr>
            <w:top w:val="none" w:sz="0" w:space="0" w:color="auto"/>
            <w:left w:val="none" w:sz="0" w:space="0" w:color="auto"/>
            <w:bottom w:val="none" w:sz="0" w:space="0" w:color="auto"/>
            <w:right w:val="none" w:sz="0" w:space="0" w:color="auto"/>
          </w:divBdr>
        </w:div>
      </w:divsChild>
    </w:div>
    <w:div w:id="1612585535">
      <w:bodyDiv w:val="1"/>
      <w:marLeft w:val="0"/>
      <w:marRight w:val="0"/>
      <w:marTop w:val="0"/>
      <w:marBottom w:val="0"/>
      <w:divBdr>
        <w:top w:val="none" w:sz="0" w:space="0" w:color="auto"/>
        <w:left w:val="none" w:sz="0" w:space="0" w:color="auto"/>
        <w:bottom w:val="none" w:sz="0" w:space="0" w:color="auto"/>
        <w:right w:val="none" w:sz="0" w:space="0" w:color="auto"/>
      </w:divBdr>
    </w:div>
    <w:div w:id="1615137588">
      <w:bodyDiv w:val="1"/>
      <w:marLeft w:val="0"/>
      <w:marRight w:val="0"/>
      <w:marTop w:val="0"/>
      <w:marBottom w:val="0"/>
      <w:divBdr>
        <w:top w:val="none" w:sz="0" w:space="0" w:color="auto"/>
        <w:left w:val="none" w:sz="0" w:space="0" w:color="auto"/>
        <w:bottom w:val="none" w:sz="0" w:space="0" w:color="auto"/>
        <w:right w:val="none" w:sz="0" w:space="0" w:color="auto"/>
      </w:divBdr>
    </w:div>
    <w:div w:id="1634409524">
      <w:bodyDiv w:val="1"/>
      <w:marLeft w:val="0"/>
      <w:marRight w:val="0"/>
      <w:marTop w:val="0"/>
      <w:marBottom w:val="0"/>
      <w:divBdr>
        <w:top w:val="none" w:sz="0" w:space="0" w:color="auto"/>
        <w:left w:val="none" w:sz="0" w:space="0" w:color="auto"/>
        <w:bottom w:val="none" w:sz="0" w:space="0" w:color="auto"/>
        <w:right w:val="none" w:sz="0" w:space="0" w:color="auto"/>
      </w:divBdr>
      <w:divsChild>
        <w:div w:id="1163080614">
          <w:marLeft w:val="446"/>
          <w:marRight w:val="0"/>
          <w:marTop w:val="0"/>
          <w:marBottom w:val="0"/>
          <w:divBdr>
            <w:top w:val="none" w:sz="0" w:space="0" w:color="auto"/>
            <w:left w:val="none" w:sz="0" w:space="0" w:color="auto"/>
            <w:bottom w:val="none" w:sz="0" w:space="0" w:color="auto"/>
            <w:right w:val="none" w:sz="0" w:space="0" w:color="auto"/>
          </w:divBdr>
        </w:div>
        <w:div w:id="2126465024">
          <w:marLeft w:val="446"/>
          <w:marRight w:val="0"/>
          <w:marTop w:val="0"/>
          <w:marBottom w:val="0"/>
          <w:divBdr>
            <w:top w:val="none" w:sz="0" w:space="0" w:color="auto"/>
            <w:left w:val="none" w:sz="0" w:space="0" w:color="auto"/>
            <w:bottom w:val="none" w:sz="0" w:space="0" w:color="auto"/>
            <w:right w:val="none" w:sz="0" w:space="0" w:color="auto"/>
          </w:divBdr>
        </w:div>
        <w:div w:id="196091548">
          <w:marLeft w:val="446"/>
          <w:marRight w:val="0"/>
          <w:marTop w:val="0"/>
          <w:marBottom w:val="0"/>
          <w:divBdr>
            <w:top w:val="none" w:sz="0" w:space="0" w:color="auto"/>
            <w:left w:val="none" w:sz="0" w:space="0" w:color="auto"/>
            <w:bottom w:val="none" w:sz="0" w:space="0" w:color="auto"/>
            <w:right w:val="none" w:sz="0" w:space="0" w:color="auto"/>
          </w:divBdr>
        </w:div>
      </w:divsChild>
    </w:div>
    <w:div w:id="1654721710">
      <w:bodyDiv w:val="1"/>
      <w:marLeft w:val="0"/>
      <w:marRight w:val="0"/>
      <w:marTop w:val="0"/>
      <w:marBottom w:val="0"/>
      <w:divBdr>
        <w:top w:val="none" w:sz="0" w:space="0" w:color="auto"/>
        <w:left w:val="none" w:sz="0" w:space="0" w:color="auto"/>
        <w:bottom w:val="none" w:sz="0" w:space="0" w:color="auto"/>
        <w:right w:val="none" w:sz="0" w:space="0" w:color="auto"/>
      </w:divBdr>
    </w:div>
    <w:div w:id="1663199402">
      <w:bodyDiv w:val="1"/>
      <w:marLeft w:val="0"/>
      <w:marRight w:val="0"/>
      <w:marTop w:val="0"/>
      <w:marBottom w:val="0"/>
      <w:divBdr>
        <w:top w:val="none" w:sz="0" w:space="0" w:color="auto"/>
        <w:left w:val="none" w:sz="0" w:space="0" w:color="auto"/>
        <w:bottom w:val="none" w:sz="0" w:space="0" w:color="auto"/>
        <w:right w:val="none" w:sz="0" w:space="0" w:color="auto"/>
      </w:divBdr>
      <w:divsChild>
        <w:div w:id="1286042978">
          <w:marLeft w:val="446"/>
          <w:marRight w:val="0"/>
          <w:marTop w:val="0"/>
          <w:marBottom w:val="0"/>
          <w:divBdr>
            <w:top w:val="none" w:sz="0" w:space="0" w:color="auto"/>
            <w:left w:val="none" w:sz="0" w:space="0" w:color="auto"/>
            <w:bottom w:val="none" w:sz="0" w:space="0" w:color="auto"/>
            <w:right w:val="none" w:sz="0" w:space="0" w:color="auto"/>
          </w:divBdr>
        </w:div>
      </w:divsChild>
    </w:div>
    <w:div w:id="1674917307">
      <w:bodyDiv w:val="1"/>
      <w:marLeft w:val="0"/>
      <w:marRight w:val="0"/>
      <w:marTop w:val="0"/>
      <w:marBottom w:val="0"/>
      <w:divBdr>
        <w:top w:val="none" w:sz="0" w:space="0" w:color="auto"/>
        <w:left w:val="none" w:sz="0" w:space="0" w:color="auto"/>
        <w:bottom w:val="none" w:sz="0" w:space="0" w:color="auto"/>
        <w:right w:val="none" w:sz="0" w:space="0" w:color="auto"/>
      </w:divBdr>
      <w:divsChild>
        <w:div w:id="955063651">
          <w:marLeft w:val="720"/>
          <w:marRight w:val="0"/>
          <w:marTop w:val="40"/>
          <w:marBottom w:val="0"/>
          <w:divBdr>
            <w:top w:val="none" w:sz="0" w:space="0" w:color="auto"/>
            <w:left w:val="none" w:sz="0" w:space="0" w:color="auto"/>
            <w:bottom w:val="none" w:sz="0" w:space="0" w:color="auto"/>
            <w:right w:val="none" w:sz="0" w:space="0" w:color="auto"/>
          </w:divBdr>
        </w:div>
        <w:div w:id="1180319414">
          <w:marLeft w:val="720"/>
          <w:marRight w:val="0"/>
          <w:marTop w:val="40"/>
          <w:marBottom w:val="0"/>
          <w:divBdr>
            <w:top w:val="none" w:sz="0" w:space="0" w:color="auto"/>
            <w:left w:val="none" w:sz="0" w:space="0" w:color="auto"/>
            <w:bottom w:val="none" w:sz="0" w:space="0" w:color="auto"/>
            <w:right w:val="none" w:sz="0" w:space="0" w:color="auto"/>
          </w:divBdr>
        </w:div>
      </w:divsChild>
    </w:div>
    <w:div w:id="1718971622">
      <w:bodyDiv w:val="1"/>
      <w:marLeft w:val="0"/>
      <w:marRight w:val="0"/>
      <w:marTop w:val="0"/>
      <w:marBottom w:val="0"/>
      <w:divBdr>
        <w:top w:val="none" w:sz="0" w:space="0" w:color="auto"/>
        <w:left w:val="none" w:sz="0" w:space="0" w:color="auto"/>
        <w:bottom w:val="none" w:sz="0" w:space="0" w:color="auto"/>
        <w:right w:val="none" w:sz="0" w:space="0" w:color="auto"/>
      </w:divBdr>
    </w:div>
    <w:div w:id="1793865657">
      <w:bodyDiv w:val="1"/>
      <w:marLeft w:val="0"/>
      <w:marRight w:val="0"/>
      <w:marTop w:val="0"/>
      <w:marBottom w:val="0"/>
      <w:divBdr>
        <w:top w:val="none" w:sz="0" w:space="0" w:color="auto"/>
        <w:left w:val="none" w:sz="0" w:space="0" w:color="auto"/>
        <w:bottom w:val="none" w:sz="0" w:space="0" w:color="auto"/>
        <w:right w:val="none" w:sz="0" w:space="0" w:color="auto"/>
      </w:divBdr>
    </w:div>
    <w:div w:id="1798256679">
      <w:bodyDiv w:val="1"/>
      <w:marLeft w:val="0"/>
      <w:marRight w:val="0"/>
      <w:marTop w:val="0"/>
      <w:marBottom w:val="0"/>
      <w:divBdr>
        <w:top w:val="none" w:sz="0" w:space="0" w:color="auto"/>
        <w:left w:val="none" w:sz="0" w:space="0" w:color="auto"/>
        <w:bottom w:val="none" w:sz="0" w:space="0" w:color="auto"/>
        <w:right w:val="none" w:sz="0" w:space="0" w:color="auto"/>
      </w:divBdr>
    </w:div>
    <w:div w:id="1831632607">
      <w:bodyDiv w:val="1"/>
      <w:marLeft w:val="0"/>
      <w:marRight w:val="0"/>
      <w:marTop w:val="0"/>
      <w:marBottom w:val="0"/>
      <w:divBdr>
        <w:top w:val="none" w:sz="0" w:space="0" w:color="auto"/>
        <w:left w:val="none" w:sz="0" w:space="0" w:color="auto"/>
        <w:bottom w:val="none" w:sz="0" w:space="0" w:color="auto"/>
        <w:right w:val="none" w:sz="0" w:space="0" w:color="auto"/>
      </w:divBdr>
    </w:div>
    <w:div w:id="1832984309">
      <w:bodyDiv w:val="1"/>
      <w:marLeft w:val="0"/>
      <w:marRight w:val="0"/>
      <w:marTop w:val="0"/>
      <w:marBottom w:val="0"/>
      <w:divBdr>
        <w:top w:val="none" w:sz="0" w:space="0" w:color="auto"/>
        <w:left w:val="none" w:sz="0" w:space="0" w:color="auto"/>
        <w:bottom w:val="none" w:sz="0" w:space="0" w:color="auto"/>
        <w:right w:val="none" w:sz="0" w:space="0" w:color="auto"/>
      </w:divBdr>
    </w:div>
    <w:div w:id="1840652285">
      <w:bodyDiv w:val="1"/>
      <w:marLeft w:val="0"/>
      <w:marRight w:val="0"/>
      <w:marTop w:val="0"/>
      <w:marBottom w:val="0"/>
      <w:divBdr>
        <w:top w:val="none" w:sz="0" w:space="0" w:color="auto"/>
        <w:left w:val="none" w:sz="0" w:space="0" w:color="auto"/>
        <w:bottom w:val="none" w:sz="0" w:space="0" w:color="auto"/>
        <w:right w:val="none" w:sz="0" w:space="0" w:color="auto"/>
      </w:divBdr>
      <w:divsChild>
        <w:div w:id="173231359">
          <w:marLeft w:val="720"/>
          <w:marRight w:val="0"/>
          <w:marTop w:val="40"/>
          <w:marBottom w:val="0"/>
          <w:divBdr>
            <w:top w:val="none" w:sz="0" w:space="0" w:color="auto"/>
            <w:left w:val="none" w:sz="0" w:space="0" w:color="auto"/>
            <w:bottom w:val="none" w:sz="0" w:space="0" w:color="auto"/>
            <w:right w:val="none" w:sz="0" w:space="0" w:color="auto"/>
          </w:divBdr>
        </w:div>
        <w:div w:id="372267582">
          <w:marLeft w:val="1555"/>
          <w:marRight w:val="0"/>
          <w:marTop w:val="40"/>
          <w:marBottom w:val="0"/>
          <w:divBdr>
            <w:top w:val="none" w:sz="0" w:space="0" w:color="auto"/>
            <w:left w:val="none" w:sz="0" w:space="0" w:color="auto"/>
            <w:bottom w:val="none" w:sz="0" w:space="0" w:color="auto"/>
            <w:right w:val="none" w:sz="0" w:space="0" w:color="auto"/>
          </w:divBdr>
        </w:div>
        <w:div w:id="657534190">
          <w:marLeft w:val="1555"/>
          <w:marRight w:val="0"/>
          <w:marTop w:val="40"/>
          <w:marBottom w:val="0"/>
          <w:divBdr>
            <w:top w:val="none" w:sz="0" w:space="0" w:color="auto"/>
            <w:left w:val="none" w:sz="0" w:space="0" w:color="auto"/>
            <w:bottom w:val="none" w:sz="0" w:space="0" w:color="auto"/>
            <w:right w:val="none" w:sz="0" w:space="0" w:color="auto"/>
          </w:divBdr>
        </w:div>
        <w:div w:id="1526096290">
          <w:marLeft w:val="720"/>
          <w:marRight w:val="0"/>
          <w:marTop w:val="40"/>
          <w:marBottom w:val="0"/>
          <w:divBdr>
            <w:top w:val="none" w:sz="0" w:space="0" w:color="auto"/>
            <w:left w:val="none" w:sz="0" w:space="0" w:color="auto"/>
            <w:bottom w:val="none" w:sz="0" w:space="0" w:color="auto"/>
            <w:right w:val="none" w:sz="0" w:space="0" w:color="auto"/>
          </w:divBdr>
        </w:div>
        <w:div w:id="1825193485">
          <w:marLeft w:val="1555"/>
          <w:marRight w:val="0"/>
          <w:marTop w:val="40"/>
          <w:marBottom w:val="0"/>
          <w:divBdr>
            <w:top w:val="none" w:sz="0" w:space="0" w:color="auto"/>
            <w:left w:val="none" w:sz="0" w:space="0" w:color="auto"/>
            <w:bottom w:val="none" w:sz="0" w:space="0" w:color="auto"/>
            <w:right w:val="none" w:sz="0" w:space="0" w:color="auto"/>
          </w:divBdr>
        </w:div>
        <w:div w:id="1917781542">
          <w:marLeft w:val="1555"/>
          <w:marRight w:val="0"/>
          <w:marTop w:val="40"/>
          <w:marBottom w:val="0"/>
          <w:divBdr>
            <w:top w:val="none" w:sz="0" w:space="0" w:color="auto"/>
            <w:left w:val="none" w:sz="0" w:space="0" w:color="auto"/>
            <w:bottom w:val="none" w:sz="0" w:space="0" w:color="auto"/>
            <w:right w:val="none" w:sz="0" w:space="0" w:color="auto"/>
          </w:divBdr>
        </w:div>
        <w:div w:id="1936397286">
          <w:marLeft w:val="720"/>
          <w:marRight w:val="0"/>
          <w:marTop w:val="40"/>
          <w:marBottom w:val="0"/>
          <w:divBdr>
            <w:top w:val="none" w:sz="0" w:space="0" w:color="auto"/>
            <w:left w:val="none" w:sz="0" w:space="0" w:color="auto"/>
            <w:bottom w:val="none" w:sz="0" w:space="0" w:color="auto"/>
            <w:right w:val="none" w:sz="0" w:space="0" w:color="auto"/>
          </w:divBdr>
        </w:div>
        <w:div w:id="2122871672">
          <w:marLeft w:val="720"/>
          <w:marRight w:val="0"/>
          <w:marTop w:val="40"/>
          <w:marBottom w:val="0"/>
          <w:divBdr>
            <w:top w:val="none" w:sz="0" w:space="0" w:color="auto"/>
            <w:left w:val="none" w:sz="0" w:space="0" w:color="auto"/>
            <w:bottom w:val="none" w:sz="0" w:space="0" w:color="auto"/>
            <w:right w:val="none" w:sz="0" w:space="0" w:color="auto"/>
          </w:divBdr>
        </w:div>
      </w:divsChild>
    </w:div>
    <w:div w:id="1846361705">
      <w:bodyDiv w:val="1"/>
      <w:marLeft w:val="0"/>
      <w:marRight w:val="0"/>
      <w:marTop w:val="0"/>
      <w:marBottom w:val="0"/>
      <w:divBdr>
        <w:top w:val="none" w:sz="0" w:space="0" w:color="auto"/>
        <w:left w:val="none" w:sz="0" w:space="0" w:color="auto"/>
        <w:bottom w:val="none" w:sz="0" w:space="0" w:color="auto"/>
        <w:right w:val="none" w:sz="0" w:space="0" w:color="auto"/>
      </w:divBdr>
    </w:div>
    <w:div w:id="1884825499">
      <w:bodyDiv w:val="1"/>
      <w:marLeft w:val="0"/>
      <w:marRight w:val="0"/>
      <w:marTop w:val="0"/>
      <w:marBottom w:val="0"/>
      <w:divBdr>
        <w:top w:val="none" w:sz="0" w:space="0" w:color="auto"/>
        <w:left w:val="none" w:sz="0" w:space="0" w:color="auto"/>
        <w:bottom w:val="none" w:sz="0" w:space="0" w:color="auto"/>
        <w:right w:val="none" w:sz="0" w:space="0" w:color="auto"/>
      </w:divBdr>
    </w:div>
    <w:div w:id="1946233892">
      <w:bodyDiv w:val="1"/>
      <w:marLeft w:val="0"/>
      <w:marRight w:val="0"/>
      <w:marTop w:val="0"/>
      <w:marBottom w:val="0"/>
      <w:divBdr>
        <w:top w:val="none" w:sz="0" w:space="0" w:color="auto"/>
        <w:left w:val="none" w:sz="0" w:space="0" w:color="auto"/>
        <w:bottom w:val="none" w:sz="0" w:space="0" w:color="auto"/>
        <w:right w:val="none" w:sz="0" w:space="0" w:color="auto"/>
      </w:divBdr>
      <w:divsChild>
        <w:div w:id="134639855">
          <w:marLeft w:val="720"/>
          <w:marRight w:val="0"/>
          <w:marTop w:val="40"/>
          <w:marBottom w:val="0"/>
          <w:divBdr>
            <w:top w:val="none" w:sz="0" w:space="0" w:color="auto"/>
            <w:left w:val="none" w:sz="0" w:space="0" w:color="auto"/>
            <w:bottom w:val="none" w:sz="0" w:space="0" w:color="auto"/>
            <w:right w:val="none" w:sz="0" w:space="0" w:color="auto"/>
          </w:divBdr>
        </w:div>
        <w:div w:id="340817578">
          <w:marLeft w:val="720"/>
          <w:marRight w:val="0"/>
          <w:marTop w:val="40"/>
          <w:marBottom w:val="0"/>
          <w:divBdr>
            <w:top w:val="none" w:sz="0" w:space="0" w:color="auto"/>
            <w:left w:val="none" w:sz="0" w:space="0" w:color="auto"/>
            <w:bottom w:val="none" w:sz="0" w:space="0" w:color="auto"/>
            <w:right w:val="none" w:sz="0" w:space="0" w:color="auto"/>
          </w:divBdr>
        </w:div>
      </w:divsChild>
    </w:div>
    <w:div w:id="2012446458">
      <w:bodyDiv w:val="1"/>
      <w:marLeft w:val="0"/>
      <w:marRight w:val="0"/>
      <w:marTop w:val="0"/>
      <w:marBottom w:val="0"/>
      <w:divBdr>
        <w:top w:val="none" w:sz="0" w:space="0" w:color="auto"/>
        <w:left w:val="none" w:sz="0" w:space="0" w:color="auto"/>
        <w:bottom w:val="none" w:sz="0" w:space="0" w:color="auto"/>
        <w:right w:val="none" w:sz="0" w:space="0" w:color="auto"/>
      </w:divBdr>
    </w:div>
    <w:div w:id="20185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irit.Kuusemaa@ti.ee" TargetMode="External"/><Relationship Id="rId18" Type="http://schemas.openxmlformats.org/officeDocument/2006/relationships/hyperlink" Target="mailto:Marina.Kadak@politsei.e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228;rkus.yhtigi@justdigi.ee" TargetMode="External"/><Relationship Id="rId17" Type="http://schemas.openxmlformats.org/officeDocument/2006/relationships/hyperlink" Target="mailto:Irina.Borozdina@tootukassa.ee" TargetMode="External"/><Relationship Id="rId2" Type="http://schemas.openxmlformats.org/officeDocument/2006/relationships/customXml" Target="../customXml/item2.xml"/><Relationship Id="rId16" Type="http://schemas.openxmlformats.org/officeDocument/2006/relationships/hyperlink" Target="mailto:Monika.Aasa@tootukassa.e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dri.Pungas@itl.ee" TargetMode="External"/><Relationship Id="rId5" Type="http://schemas.openxmlformats.org/officeDocument/2006/relationships/numbering" Target="numbering.xml"/><Relationship Id="rId15" Type="http://schemas.openxmlformats.org/officeDocument/2006/relationships/hyperlink" Target="mailto:Reet.Raud@tootukassa.e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ana.Vaus@ti.e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riigiteataja.ee/akt/126062025019" TargetMode="External"/><Relationship Id="rId3" Type="http://schemas.openxmlformats.org/officeDocument/2006/relationships/hyperlink" Target="https://www.riigiteataja.ee/akt/108072025009" TargetMode="External"/><Relationship Id="rId7" Type="http://schemas.openxmlformats.org/officeDocument/2006/relationships/hyperlink" Target="https://www.riigiteataja.ee/akt/105072025009" TargetMode="External"/><Relationship Id="rId2" Type="http://schemas.openxmlformats.org/officeDocument/2006/relationships/hyperlink" Target="https://www.justdigi.ee/sites/default/files/documents/2025-05/Halduskoormuse%20tasakaalustamise%20reegli%20rakendamise%20juhis.pdf" TargetMode="External"/><Relationship Id="rId1" Type="http://schemas.openxmlformats.org/officeDocument/2006/relationships/hyperlink" Target="https://www.riigiteataja.ee/akt/122052025008" TargetMode="External"/><Relationship Id="rId6" Type="http://schemas.openxmlformats.org/officeDocument/2006/relationships/hyperlink" Target="https://eur-lex.europa.eu/legal-content/ET/TXT/HTML/?uri=CELEX:32009L0052" TargetMode="External"/><Relationship Id="rId5" Type="http://schemas.openxmlformats.org/officeDocument/2006/relationships/hyperlink" Target="https://eur-lex.europa.eu/legal-content/ET/TXT/HTML/?uri=OJ:L_202401233" TargetMode="External"/><Relationship Id="rId4" Type="http://schemas.openxmlformats.org/officeDocument/2006/relationships/hyperlink" Target="https://www.riigiteataja.ee/akt/105072025009" TargetMode="External"/><Relationship Id="rId9" Type="http://schemas.openxmlformats.org/officeDocument/2006/relationships/hyperlink" Target="https://www.riigiteataja.ee/akt/122052025004" TargetMode="External"/></Relationships>
</file>

<file path=word/theme/theme1.xml><?xml version="1.0" encoding="utf-8"?>
<a:theme xmlns:a="http://schemas.openxmlformats.org/drawingml/2006/main" name="Office'i kujundus">
  <a:themeElements>
    <a:clrScheme name="Kohandatud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handatud 1">
      <a:majorFont>
        <a:latin typeface="Calibri Light"/>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C50CF0E356B74385BA8B088BB9C2A8" ma:contentTypeVersion="2" ma:contentTypeDescription="Create a new document." ma:contentTypeScope="" ma:versionID="0d3d7865a5532da89a23fc07068ec096">
  <xsd:schema xmlns:xsd="http://www.w3.org/2001/XMLSchema" xmlns:xs="http://www.w3.org/2001/XMLSchema" xmlns:p="http://schemas.microsoft.com/office/2006/metadata/properties" xmlns:ns2="508f4fb5-ab29-4df0-87b4-0144f09b413a" targetNamespace="http://schemas.microsoft.com/office/2006/metadata/properties" ma:root="true" ma:fieldsID="e57ff9bbdc83543b36442b7c0e6733bf" ns2:_="">
    <xsd:import namespace="508f4fb5-ab29-4df0-87b4-0144f09b413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f4fb5-ab29-4df0-87b4-0144f09b41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D1F0A-5EC1-4C46-8668-44774C178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f4fb5-ab29-4df0-87b4-0144f09b4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3D00BC-BCAA-49E8-8DA7-044E369C7397}">
  <ds:schemaRefs>
    <ds:schemaRef ds:uri="http://purl.org/dc/terms/"/>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http://purl.org/dc/elements/1.1/"/>
    <ds:schemaRef ds:uri="508f4fb5-ab29-4df0-87b4-0144f09b413a"/>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045F9A9-E9C5-4571-BF54-0359DDF4CD3E}">
  <ds:schemaRefs>
    <ds:schemaRef ds:uri="http://schemas.microsoft.com/sharepoint/v3/contenttype/forms"/>
  </ds:schemaRefs>
</ds:datastoreItem>
</file>

<file path=customXml/itemProps4.xml><?xml version="1.0" encoding="utf-8"?>
<ds:datastoreItem xmlns:ds="http://schemas.openxmlformats.org/officeDocument/2006/customXml" ds:itemID="{74F9125D-6A9F-4633-B9E9-26FBA39DA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8123</Words>
  <Characters>47115</Characters>
  <Application>Microsoft Office Word</Application>
  <DocSecurity>0</DocSecurity>
  <Lines>392</Lines>
  <Paragraphs>110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55128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Maret Saanküll</dc:creator>
  <cp:keywords/>
  <dc:description/>
  <cp:lastModifiedBy>Maret Saanküll</cp:lastModifiedBy>
  <cp:revision>2</cp:revision>
  <dcterms:created xsi:type="dcterms:W3CDTF">2025-10-07T07:54:00Z</dcterms:created>
  <dcterms:modified xsi:type="dcterms:W3CDTF">2025-10-07T07:54:00Z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0x010100A8C50CF0E356B74385BA8B088BB9C2A8</vt:lpwstr>
  </property>
</Properties>
</file>